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dynamique des structures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Chanti,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9789961004784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624.17/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dynamique/ structure/ </w:t>
            </w:r>
          </w:p>
        </w:tc>
      </w:tr>
    </w:tbl>
    <w:p>
      <w:pPr>
        <w:pStyle w:val="Heading3"/>
      </w:pPr>
      <w:r>
        <w:t>Résumé :</w:t>
      </w:r>
    </w:p>
    <w:p>
      <w:r>
        <w:t>Ce livre contient donc. un ensemble de méthodes et de codes de calculs, ainsi que les cntères et les conditions pratiques à leur bonne utilisation, il permettra de mener à bien l'analyse sismique des structures. Nous verrons que cette analyse requiert la création d'un· modèle de calcul qui sera ensuite introduit comme donnée dans les logiciels de calcul. Cet ouvrage a également pour rôle essentiel de faire comprendre les comportements dynamiques des structures soumises aux séismes, en faisant ressort1r l'aspect dynamique des logiciels de calculs.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