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 construction.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Giet, Armand/ Pasquet, R/ </w:t>
            </w:r>
          </w:p>
        </w:tc>
      </w:tr>
      <w:tr>
        <w:trPr>
          <w:trHeight w:val="567"/>
        </w:trPr>
        <w:tc>
          <w:tcPr>
            <w:tcW w:type="dxa" w:w="3000"/>
          </w:tcPr>
          <w:p>
            <w:r>
              <w:t>Edition</w:t>
            </w:r>
          </w:p>
        </w:tc>
        <w:tc>
          <w:tcPr>
            <w:tcW w:type="dxa" w:w="7000"/>
          </w:tcPr>
          <w:p>
            <w:r>
              <w:t>4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2040084983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moulage/ contrôle qualité/ </w:t>
            </w:r>
          </w:p>
        </w:tc>
      </w:tr>
    </w:tbl>
    <w:p>
      <w:pPr>
        <w:pStyle w:val="Heading3"/>
      </w:pPr>
      <w:r>
        <w:t>Résumé :</w:t>
      </w:r>
    </w:p>
    <w:p>
      <w:r>
        <w:t>Ce manuel a pour but de fournir une base de connaissances techniques sur les éléments constitutifs d’un ouvrage, en insistant particulièrement sur les liaisons, les assemblages et les éléments mécaniques utilisés dans la construction. Il sert aussi bien aux étudiants qu’aux techniciens pour comprendre le vocabulaire, les fonctions et les procédés techniques qui interviennent sur un chantier.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