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Eurocode 4 et document d'application nationale, conception et dimensionnement des structures mixtes acier béton. P1-1, règles générales et règles pour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Causse, Gilles/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2212100191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béton armé/ acier de construction/ </w:t>
            </w:r>
          </w:p>
        </w:tc>
      </w:tr>
    </w:tbl>
    <w:p>
      <w:pPr>
        <w:pStyle w:val="Heading3"/>
      </w:pPr>
      <w:r>
        <w:t>Résumé :</w:t>
      </w:r>
    </w:p>
    <w:p>
      <w:r>
        <w:t>Cet ouvrage, nouvelle norme européenne P 22-391, constitue une base générale pour la conception et le calcul des structures et éléments structuraux mixtes pour les bâtiments et ouvrages de génie civil. Elle contient en outre pour les poutres, poteaux, ossatures et dalles mixtes des règles détaillées qui s'appliquent principalement aux bâtiments courants.</w:t>
        <w:br/>
        <w:br/>
        <w:br/>
        <w:br/>
        <w:t>Cet Eurocode va réglementer un secteur qui, jusqu'à présent, n'avait pas de réglementation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