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Prévention et lutte contre la corrosion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Normand, Bernard/ Pébére, Nadine/ Richard, Caroline/ Wery, Martine/ </w:t>
            </w:r>
          </w:p>
        </w:tc>
      </w:tr>
      <w:tr>
        <w:trPr>
          <w:trHeight w:val="567"/>
        </w:trPr>
        <w:tc>
          <w:tcPr>
            <w:tcW w:type="dxa" w:w="3000"/>
          </w:tcPr>
          <w:p>
            <w:r>
              <w:t>Adresse bib.</w:t>
            </w:r>
          </w:p>
        </w:tc>
        <w:tc>
          <w:tcPr>
            <w:tcW w:type="dxa" w:w="7000"/>
          </w:tcPr>
          <w:p>
            <w:r>
              <w:t xml:space="preserve">Presses Polytechniques et Universitaires Romandes/ </w:t>
            </w:r>
          </w:p>
        </w:tc>
      </w:tr>
      <w:tr>
        <w:trPr>
          <w:trHeight w:val="567"/>
        </w:trPr>
        <w:tc>
          <w:tcPr>
            <w:tcW w:type="dxa" w:w="3000"/>
          </w:tcPr>
          <w:p>
            <w:r>
              <w:t>Nombre de Pages</w:t>
            </w:r>
          </w:p>
        </w:tc>
        <w:tc>
          <w:tcPr>
            <w:tcW w:type="dxa" w:w="7000"/>
          </w:tcPr>
          <w:p>
            <w:r>
              <w:t>775 p.</w:t>
            </w:r>
          </w:p>
        </w:tc>
      </w:tr>
      <w:tr>
        <w:trPr>
          <w:trHeight w:val="567"/>
        </w:trPr>
        <w:tc>
          <w:tcPr>
            <w:tcW w:type="dxa" w:w="3000"/>
          </w:tcPr>
          <w:p>
            <w:r>
              <w:t>Illustration</w:t>
            </w:r>
          </w:p>
        </w:tc>
        <w:tc>
          <w:tcPr>
            <w:tcW w:type="dxa" w:w="7000"/>
          </w:tcPr>
          <w:p>
            <w:r>
              <w:t>ill., couv.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Collection des sciences appliquées de l'INSA de Lyon(N°:None)</w:t>
            </w:r>
          </w:p>
        </w:tc>
      </w:tr>
      <w:tr>
        <w:trPr>
          <w:trHeight w:val="567"/>
        </w:trPr>
        <w:tc>
          <w:tcPr>
            <w:tcW w:type="dxa" w:w="3000"/>
          </w:tcPr>
          <w:p>
            <w:r>
              <w:t>Numéro d'Identification</w:t>
            </w:r>
          </w:p>
        </w:tc>
        <w:tc>
          <w:tcPr>
            <w:tcW w:type="dxa" w:w="7000"/>
          </w:tcPr>
          <w:p>
            <w:r>
              <w:t>2880745438</w:t>
            </w:r>
          </w:p>
        </w:tc>
      </w:tr>
      <w:tr>
        <w:trPr>
          <w:trHeight w:val="567"/>
        </w:trPr>
        <w:tc>
          <w:tcPr>
            <w:tcW w:type="dxa" w:w="3000"/>
          </w:tcPr>
          <w:p>
            <w:r>
              <w:t>Thème</w:t>
            </w:r>
          </w:p>
        </w:tc>
        <w:tc>
          <w:tcPr>
            <w:tcW w:type="dxa" w:w="7000"/>
          </w:tcPr>
          <w:p>
            <w:r>
              <w:t>Matériaux de l'ingénieur</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corrosion/ matériaux surfaces/ protectionindustrie/ </w:t>
            </w:r>
          </w:p>
        </w:tc>
      </w:tr>
    </w:tbl>
    <w:p>
      <w:pPr>
        <w:pStyle w:val="Heading3"/>
      </w:pPr>
      <w:r>
        <w:t>Résumé :</w:t>
      </w:r>
    </w:p>
    <w:p>
      <w:r>
        <w:t>La durabilité des produits industriels doit être prise en compte dès les premières étapes de leur conception. Elle relève d'une approche globale qui intègre le matériau et les sollicitations environnementales. L'objectif de cet ouvrage est de proposer une synthèse des bases actuelles de la corrosion et de dispenser les outils et les solutions permettant de prévenir et de maîtriser la dégradation des métaux. Issues à l'origine d'une école thématique consacrée à la corrosion, les contributions éditées dans cet ouvrage collectif sont rédigées par les meilleurs spécialistes francophones pour la plupart membres du Centre Français de l'Anticorrosion (CEFRACOR) et/ou du CNRS. L'approche globale de la lutte contre la corrosion est illustrée par de nombreux exemples industriels de différents domaines qui en font un ouvrage de référence et pédagogique de tout premier ordre, destiné à un large public de chercheurs, d'ingénieurs et d'étudiants concernés par les matériaux ou la conception de produits.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