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Dynamique des structures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Gmur; Thomas/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XII-570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p.p. 529-547 Index p.p. 559-570</w:t>
            </w:r>
          </w:p>
        </w:tc>
      </w:tr>
      <w:tr>
        <w:trPr>
          <w:trHeight w:val="567"/>
        </w:trPr>
        <w:tc>
          <w:tcPr>
            <w:tcW w:type="dxa" w:w="3000"/>
          </w:tcPr>
          <w:p>
            <w:r>
              <w:t>Numéro d'Identification</w:t>
            </w:r>
          </w:p>
        </w:tc>
        <w:tc>
          <w:tcPr>
            <w:tcW w:type="dxa" w:w="7000"/>
          </w:tcPr>
          <w:p>
            <w:r>
              <w:t>2880743338</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624.17/ </w:t>
            </w:r>
          </w:p>
        </w:tc>
      </w:tr>
      <w:tr>
        <w:trPr>
          <w:trHeight w:val="567"/>
        </w:trPr>
        <w:tc>
          <w:tcPr>
            <w:tcW w:type="dxa" w:w="3000"/>
          </w:tcPr>
          <w:p>
            <w:r>
              <w:t>Sujet(s)</w:t>
            </w:r>
          </w:p>
        </w:tc>
        <w:tc>
          <w:tcPr>
            <w:tcW w:type="dxa" w:w="7000"/>
          </w:tcPr>
          <w:p>
            <w:r>
              <w:t xml:space="preserve">contrôle de structure/ analyse modale/ </w:t>
            </w:r>
          </w:p>
        </w:tc>
      </w:tr>
    </w:tbl>
    <w:p>
      <w:pPr>
        <w:pStyle w:val="Heading3"/>
      </w:pPr>
      <w:r>
        <w:t>Résumé :</w:t>
      </w:r>
    </w:p>
    <w:p>
      <w:r>
        <w:t>Cet ouvrage a pour but d'explorer les procédés actuels permettant d'élaborer un modèle numérique fiable d'une structure, en vue d'une bonne compréhension de son comportement dynamique. Il s'attache ainsi à présenter la méthode des éléments finis pour la discrétisation spatiale du système étudié, les techniques numériques d'extraction pour son analyse modale, les schémas aux différences finies pour son analyse temporelle et les méthodes de condensation pour sa confrontation ultérieure avec un modèle expérimental. Mathématiquement rigoureux sans sacrifier les aspects pratiques, il se caractérise par la présentation équilibrée des diverses procédures et la généralisation des procédés numériques usuels aux structures amorties et aux systèmes gyroscopiques conservatifs et dissipatifs, ainsi que par la place importante octroyée aux études de cas académiques et industrielles.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