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Gérer l'aménagement urbain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Guelton, Sonia/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 de Rennes/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Didact aménagement(N°:None)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237-249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9782753520547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Aménagement du territoire/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agglomération/ </w:t>
            </w:r>
          </w:p>
        </w:tc>
      </w:tr>
    </w:tbl>
    <w:p>
      <w:pPr>
        <w:pStyle w:val="Heading3"/>
      </w:pPr>
      <w:r>
        <w:t>Résumé :</w:t>
      </w:r>
    </w:p>
    <w:p>
      <w:r>
        <w:t>Les décisions d'aménagement s'élaborent dans un système économique et institutionnel complexe et qui a profondément évolué. Les références pour l'analyse socio-économique et la gestion des projets territoriaux sont souvent en décalage avec les réalités des mutations urbaines. Comment prendre en compte les imbrications institutionnelles et spatiales ? Comment articuler leurs potentialités dans le temps ?, Ce essai de répondre à ces questions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