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des eaux résiduaires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Olivier/ </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à la fin de chaque chap. Index</w:t>
            </w:r>
          </w:p>
        </w:tc>
      </w:tr>
      <w:tr>
        <w:trPr>
          <w:trHeight w:val="567"/>
        </w:trPr>
        <w:tc>
          <w:tcPr>
            <w:tcW w:type="dxa" w:w="3000"/>
          </w:tcPr>
          <w:p>
            <w:r>
              <w:t>Numéro d'Identification</w:t>
            </w:r>
          </w:p>
        </w:tc>
        <w:tc>
          <w:tcPr>
            <w:tcW w:type="dxa" w:w="7000"/>
          </w:tcPr>
          <w:p>
            <w:r>
              <w:t>2870800339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usée/ </w:t>
            </w:r>
          </w:p>
        </w:tc>
      </w:tr>
    </w:tbl>
    <w:p>
      <w:pPr>
        <w:pStyle w:val="Heading3"/>
      </w:pPr>
      <w:r>
        <w:t>Résumé :</w:t>
      </w:r>
    </w:p>
    <w:p>
      <w:r>
        <w:t>L'ouvrage présente les Caractéristiques des eaux résiduaires. Les outils de mesure. Prélèvements, échantillonnage, et mesure de débits. Paramètres physicochimiques. Pollution particulaire et paramètres liés. Pollution organique globale. Détermination des constituants dissous. Analyses microbiologiques. Mesures écotoxicologiques.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