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145-147</w:t>
            </w:r>
          </w:p>
        </w:tc>
      </w:tr>
      <w:tr>
        <w:trPr>
          <w:trHeight w:val="567"/>
        </w:trPr>
        <w:tc>
          <w:tcPr>
            <w:tcW w:type="dxa" w:w="3000"/>
          </w:tcPr>
          <w:p>
            <w:r>
              <w:t>Numéro d'Identification</w:t>
            </w:r>
          </w:p>
        </w:tc>
        <w:tc>
          <w:tcPr>
            <w:tcW w:type="dxa" w:w="7000"/>
          </w:tcPr>
          <w:p>
            <w:r>
              <w:t>9961630033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commande numérique/ feedback numérique/ </w:t>
            </w:r>
          </w:p>
        </w:tc>
      </w:tr>
    </w:tbl>
    <w:p>
      <w:pPr>
        <w:pStyle w:val="Heading3"/>
      </w:pPr>
      <w:r>
        <w:t>Résumé :</w:t>
      </w:r>
    </w:p>
    <w:p>
      <w:r>
        <w:t>Cet ouvrage est conçu pour les étudiants et les professionnels en automatique, offrant une compréhension approfondie des défis et des solutions associés à la commande numérique et à l’identification des systèmes. Il fournit également des bases théoriques solides tout en mettant l’accent sur les applications pratiques. Pour un résumé plus détaillé, il est recommandé de consulter directement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