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L'Analyse des décisions d'aménagement régional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Lesourne, Jacques/ Loué, René/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31 cm</w:t>
            </w:r>
          </w:p>
        </w:tc>
      </w:tr>
      <w:tr>
        <w:trPr>
          <w:trHeight w:val="567"/>
        </w:trPr>
        <w:tc>
          <w:tcPr>
            <w:tcW w:type="dxa" w:w="3000"/>
          </w:tcPr>
          <w:p>
            <w:r>
              <w:t>Collection</w:t>
            </w:r>
          </w:p>
        </w:tc>
        <w:tc>
          <w:tcPr>
            <w:tcW w:type="dxa" w:w="7000"/>
          </w:tcPr>
          <w:p>
            <w:r>
              <w:t>Aspects de l'urbanisme(N°:None)</w:t>
            </w:r>
          </w:p>
        </w:tc>
      </w:tr>
      <w:tr>
        <w:trPr>
          <w:trHeight w:val="567"/>
        </w:trPr>
        <w:tc>
          <w:tcPr>
            <w:tcW w:type="dxa" w:w="3000"/>
          </w:tcPr>
          <w:p>
            <w:r>
              <w:t>Numéro d'Identification</w:t>
            </w:r>
          </w:p>
        </w:tc>
        <w:tc>
          <w:tcPr>
            <w:tcW w:type="dxa" w:w="7000"/>
          </w:tcPr>
          <w:p>
            <w:r>
              <w:t>2040104380</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aménagement régional/ </w:t>
            </w:r>
          </w:p>
        </w:tc>
      </w:tr>
    </w:tbl>
    <w:p>
      <w:pPr>
        <w:pStyle w:val="Heading3"/>
      </w:pPr>
      <w:r>
        <w:t>Résumé :</w:t>
      </w:r>
    </w:p>
    <w:p>
      <w:r>
        <w:t>et la transformation de cette compréhension en une possibilité d'agir.</w:t>
        <w:br/>
        <w:br/>
        <w:t>Dans ce livre, qui est un quasi-manuel, ils cherchent, en partant d'exemples vécus, à dégager, à l'usage des étudiants et des professionnels, une méthode d'analyse des décisions d'aménagement régional.</w:t>
        <w:br/>
        <w:br/>
        <w:t>Décisions concernant le développement économique d'ensemble, des projets ponctuels, l'armature régionale ou le choix d'un avenir à très long terme.</w:t>
        <w:br/>
        <w:br/>
        <w:t>Ecrit dans un langage qui n'implique pas de connaissances économiques ou mathématiques particulières, cet ouvrage devrait donc passionner le large public de ceux qui se sentent concernés par une réflexion sur l'aménagement régional.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