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Matériaux composites.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Hocine, Abdelkader/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Numéro d'Identification</w:t>
            </w:r>
          </w:p>
        </w:tc>
        <w:tc>
          <w:tcPr>
            <w:tcW w:type="dxa" w:w="7000"/>
          </w:tcPr>
          <w:p>
            <w:r>
              <w:t>9789961022283</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Matériaux de l'ingénieur/ </w:t>
            </w:r>
          </w:p>
        </w:tc>
      </w:tr>
      <w:tr>
        <w:trPr>
          <w:trHeight w:val="567"/>
        </w:trPr>
        <w:tc>
          <w:tcPr>
            <w:tcW w:type="dxa" w:w="3000"/>
          </w:tcPr>
          <w:p>
            <w:r>
              <w:t>Sujet(s)</w:t>
            </w:r>
          </w:p>
        </w:tc>
        <w:tc>
          <w:tcPr>
            <w:tcW w:type="dxa" w:w="7000"/>
          </w:tcPr>
          <w:p>
            <w:r>
              <w:t xml:space="preserve">comportement micromécanique/ vieillissement hygrothermique/ matériaux/ </w:t>
            </w:r>
          </w:p>
        </w:tc>
      </w:tr>
    </w:tbl>
    <w:p>
      <w:pPr>
        <w:pStyle w:val="Heading3"/>
      </w:pPr>
      <w:r>
        <w:t>Résumé :</w:t>
      </w:r>
    </w:p>
    <w:p>
      <w:r>
        <w:t>L'intégration de la matière matériaux composites dans la formation master en sciences et techniques est indispensable pour les produits de ce domaine de formation et elle aura des retombées positives sur la recherche les bureaux d'étude et de conception ainsi que sur les activités industrielles c'est dans cette finalité que le présent polycopié apporte son soutien par un ensemble de notions théoriques et des exercices à cette matière de formation</w:t>
        <w:br/>
        <w:br/>
        <w:t>ce polycopié s'adresse aux étudiants 1 M2 du 2em cycle LMD des filières de sciences et techniques aux ingénieurs et aux doctorants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