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 la ressource et des écosystèmes : 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Office international de l'eau/ </w:t>
            </w:r>
          </w:p>
        </w:tc>
      </w:tr>
      <w:tr>
        <w:trPr>
          <w:trHeight w:val="567"/>
        </w:trPr>
        <w:tc>
          <w:tcPr>
            <w:tcW w:type="dxa" w:w="3000"/>
          </w:tcPr>
          <w:p>
            <w:r>
              <w:t>Adresse bib.</w:t>
            </w:r>
          </w:p>
        </w:tc>
        <w:tc>
          <w:tcPr>
            <w:tcW w:type="dxa" w:w="7000"/>
          </w:tcPr>
          <w:p>
            <w:r>
              <w:t xml:space="preserve">Office international de l'eau/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2841074684</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l’eau potable / l'hydroélectricité/ </w:t>
            </w:r>
          </w:p>
        </w:tc>
      </w:tr>
    </w:tbl>
    <w:p>
      <w:pPr>
        <w:pStyle w:val="Heading3"/>
      </w:pPr>
      <w:r>
        <w:t>Résumé :</w:t>
      </w:r>
    </w:p>
    <w:p>
      <w:r>
        <w:t>Aborde les enjeux du contrôle des rivières pour l'irrigation, l'eau potable, l'hydroélectricité, les inondations avec de nombreux exemples. Enonce aussi les principes techniques. Présente l'évolution vers des modèles souples et évolutifs, évalue des scénarios de gestion et traite de la gestion en temps réel. Discute les limites de l'utilisation des techniques végétales pour protéger les berges.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