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L'érosion entre nature et société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Veyret-Medkjian, Yvette/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DIEM Dossiers des images économiques du monde(N°:22)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2718191899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erosion/ </w:t>
            </w:r>
          </w:p>
        </w:tc>
      </w:tr>
    </w:tbl>
    <w:p>
      <w:pPr>
        <w:pStyle w:val="Heading3"/>
      </w:pPr>
      <w:r>
        <w:t>Résumé :</w:t>
      </w:r>
    </w:p>
    <w:p>
      <w:r>
        <w:t>La société apparaît bien souvent comme un amplificateur des phénomènes érosifs et des "modifications climatiques", mais elle contribue aussi, grâce à une connaissance suffisante des mécanismes et des modalités de l'érosion, à maîtriser celle-ci par des pratiques appropriées. Pour agrégation et Capes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