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Cycle de vie des surfaces industrielles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Hlawka, Françoise/ Cornet, Alain/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299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Technosup : les filières technologiques des enseignements supérieurs(N°:None)</w:t>
            </w:r>
          </w:p>
        </w:tc>
      </w:tr>
      <w:tr>
        <w:trPr>
          <w:trHeight w:val="567"/>
        </w:trPr>
        <w:tc>
          <w:tcPr>
            <w:tcW w:type="dxa" w:w="3000"/>
          </w:tcPr>
          <w:p>
            <w:r>
              <w:t>Notes Générales</w:t>
            </w:r>
          </w:p>
        </w:tc>
        <w:tc>
          <w:tcPr>
            <w:tcW w:type="dxa" w:w="7000"/>
          </w:tcPr>
          <w:p>
            <w:r>
              <w:t>Bibliogr. p. p. 294-299</w:t>
            </w:r>
          </w:p>
        </w:tc>
      </w:tr>
      <w:tr>
        <w:trPr>
          <w:trHeight w:val="567"/>
        </w:trPr>
        <w:tc>
          <w:tcPr>
            <w:tcW w:type="dxa" w:w="3000"/>
          </w:tcPr>
          <w:p>
            <w:r>
              <w:t>Numéro d'Identification</w:t>
            </w:r>
          </w:p>
        </w:tc>
        <w:tc>
          <w:tcPr>
            <w:tcW w:type="dxa" w:w="7000"/>
          </w:tcPr>
          <w:p>
            <w:r>
              <w:t>9782729841461</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traitements de surfaces/ surfaces (technologie)/ </w:t>
            </w:r>
          </w:p>
        </w:tc>
      </w:tr>
    </w:tbl>
    <w:p>
      <w:pPr>
        <w:pStyle w:val="Heading3"/>
      </w:pPr>
      <w:r>
        <w:t>Résumé :</w:t>
      </w:r>
    </w:p>
    <w:p>
      <w:r>
        <w:t>L’ouvrage : niveau C (Master - Écoles d’ingénieurs - Recherche) Modifier une surface industrielle, pour éviter ou retarder sa détérioration par usure ou corrosion, répond au souci classique du mécanicien de pérenniser les structures et les systèmes. En outre la prise en compte du concept de développement durable se traduit au niveau européen par l’application de directives sectorielles (V.H.U., RoHS, REACH…) qui concernent de plus en plus les traitements de surface.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