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Restaurer la nature pour atténuer les impacts du développement</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Adresse bib.</w:t>
            </w:r>
          </w:p>
        </w:tc>
        <w:tc>
          <w:tcPr>
            <w:tcW w:type="dxa" w:w="7000"/>
          </w:tcPr>
          <w:p>
            <w:r>
              <w:t xml:space="preserve">Éditions Quae/ </w:t>
            </w:r>
          </w:p>
        </w:tc>
      </w:tr>
      <w:tr>
        <w:trPr>
          <w:trHeight w:val="567"/>
        </w:trPr>
        <w:tc>
          <w:tcPr>
            <w:tcW w:type="dxa" w:w="3000"/>
          </w:tcPr>
          <w:p>
            <w:r>
              <w:t>Nombre de Pages</w:t>
            </w:r>
          </w:p>
        </w:tc>
        <w:tc>
          <w:tcPr>
            <w:tcW w:type="dxa" w:w="7000"/>
          </w:tcPr>
          <w:p>
            <w:r>
              <w:t>(313 p.) : ill. en coul. ; 24 cm</w:t>
            </w:r>
          </w:p>
        </w:tc>
      </w:tr>
      <w:tr>
        <w:trPr>
          <w:trHeight w:val="567"/>
        </w:trPr>
        <w:tc>
          <w:tcPr>
            <w:tcW w:type="dxa" w:w="3000"/>
          </w:tcPr>
          <w:p>
            <w:r>
              <w:t>Illustration</w:t>
            </w:r>
          </w:p>
        </w:tc>
        <w:tc>
          <w:tcPr>
            <w:tcW w:type="dxa" w:w="7000"/>
          </w:tcPr>
          <w:p>
            <w:r>
              <w:t>ill.</w:t>
            </w:r>
          </w:p>
        </w:tc>
      </w:tr>
      <w:tr>
        <w:trPr>
          <w:trHeight w:val="567"/>
        </w:trPr>
        <w:tc>
          <w:tcPr>
            <w:tcW w:type="dxa" w:w="3000"/>
          </w:tcPr>
          <w:p>
            <w:r>
              <w:t>Collection</w:t>
            </w:r>
          </w:p>
        </w:tc>
        <w:tc>
          <w:tcPr>
            <w:tcW w:type="dxa" w:w="7000"/>
          </w:tcPr>
          <w:p>
            <w:r>
              <w:t>Synthèses(N°:None)</w:t>
            </w:r>
          </w:p>
        </w:tc>
      </w:tr>
      <w:tr>
        <w:trPr>
          <w:trHeight w:val="567"/>
        </w:trPr>
        <w:tc>
          <w:tcPr>
            <w:tcW w:type="dxa" w:w="3000"/>
          </w:tcPr>
          <w:p>
            <w:r>
              <w:t>Notes Générales</w:t>
            </w:r>
          </w:p>
        </w:tc>
        <w:tc>
          <w:tcPr>
            <w:tcW w:type="dxa" w:w="7000"/>
          </w:tcPr>
          <w:p>
            <w:r>
              <w:t>Bibliogr. p.p. 288-308. Webliogr. p.p. 309-310. Glossaire</w:t>
            </w:r>
          </w:p>
        </w:tc>
      </w:tr>
      <w:tr>
        <w:trPr>
          <w:trHeight w:val="567"/>
        </w:trPr>
        <w:tc>
          <w:tcPr>
            <w:tcW w:type="dxa" w:w="3000"/>
          </w:tcPr>
          <w:p>
            <w:r>
              <w:t>Numéro d'Identification</w:t>
            </w:r>
          </w:p>
        </w:tc>
        <w:tc>
          <w:tcPr>
            <w:tcW w:type="dxa" w:w="7000"/>
          </w:tcPr>
          <w:p>
            <w:r>
              <w:t>9782759222902</w:t>
            </w:r>
          </w:p>
        </w:tc>
      </w:tr>
      <w:tr>
        <w:trPr>
          <w:trHeight w:val="567"/>
        </w:trPr>
        <w:tc>
          <w:tcPr>
            <w:tcW w:type="dxa" w:w="3000"/>
          </w:tcPr>
          <w:p>
            <w:r>
              <w:t>Thème</w:t>
            </w:r>
          </w:p>
        </w:tc>
        <w:tc>
          <w:tcPr>
            <w:tcW w:type="dxa" w:w="7000"/>
          </w:tcPr>
          <w:p>
            <w:r>
              <w:t>écologie</w:t>
            </w:r>
          </w:p>
        </w:tc>
      </w:tr>
      <w:tr>
        <w:trPr>
          <w:trHeight w:val="567"/>
        </w:trPr>
        <w:tc>
          <w:tcPr>
            <w:tcW w:type="dxa" w:w="3000"/>
          </w:tcPr>
          <w:p>
            <w:r>
              <w:t>Classification(s)</w:t>
            </w:r>
          </w:p>
        </w:tc>
        <w:tc>
          <w:tcPr>
            <w:tcW w:type="dxa" w:w="7000"/>
          </w:tcPr>
          <w:p>
            <w:r>
              <w:t xml:space="preserve">577/ </w:t>
            </w:r>
          </w:p>
        </w:tc>
      </w:tr>
      <w:tr>
        <w:trPr>
          <w:trHeight w:val="567"/>
        </w:trPr>
        <w:tc>
          <w:tcPr>
            <w:tcW w:type="dxa" w:w="3000"/>
          </w:tcPr>
          <w:p>
            <w:r>
              <w:t>Sujet(s)</w:t>
            </w:r>
          </w:p>
        </w:tc>
        <w:tc>
          <w:tcPr>
            <w:tcW w:type="dxa" w:w="7000"/>
          </w:tcPr>
          <w:p>
            <w:r>
              <w:t xml:space="preserve">compensation écologique/ </w:t>
            </w:r>
          </w:p>
        </w:tc>
      </w:tr>
    </w:tbl>
    <w:p>
      <w:pPr>
        <w:pStyle w:val="Heading3"/>
      </w:pPr>
      <w:r>
        <w:t>Résumé :</w:t>
      </w:r>
    </w:p>
    <w:p>
      <w:r>
        <w:t>Les mesures compensatoires sont devenues ces dernières années un outil de gestion majeur dans la conservation de la biodiversité. Elles sont de plus en plus utilisées dans les nouvelles réglementations environnementales. Ce concept de compensation environnementale soulève de nombreux enjeux qui intéressent autant l'écologue, le géographe, l'économiste que le juriste.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