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pour l'ingénieur généraliste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Thual,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9782364936461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charge hydraulique/ </w:t>
            </w:r>
          </w:p>
        </w:tc>
      </w:tr>
    </w:tbl>
    <w:p>
      <w:pPr>
        <w:pStyle w:val="Heading3"/>
      </w:pPr>
      <w:r>
        <w:t>Résumé :</w:t>
      </w:r>
    </w:p>
    <w:p>
      <w:r>
        <w:t>L’ouvrage présente les principaux concepts utiles pour comprendre, décrire et calculer les phénomènes les plus courants rencontrés dans les applications pratiques faisant in­tervenir l’hydraulique. Le premier chapitre est un rappel d’hydrostatique qui débouche sur la notion de travail fourni par une presse hydraulique. Le passage à la puissance d’une centrale hydroélectrique en régime stationnaire met en évidence la notion de pertes de charge qui est au cœur de l’ouvrage. Le chapitre 2 définit la charge hydrau­lique pour les écoulements souterrains, en charge ou à surface libre. La loi de Darcy pour les écoulements dans des milieux poreux est illustrée par quelques exemples. Le chapitre 3 relie les pertes de charge au frottement sur les parois. Le coefficient de frot­tement est présenté à l’aide d’une analyse dimensionnelle. Sa détermination à l’aide du diagramme de Moody est illustrée à l’aide d’exemples concrets. Le chapitre 4 traite de l’hydraulique en charge à l’aide des formules de Colebrook ou de Hazen-Williams. Le chapitre 5 traite de l’hydraulique à surface libre à l’aide de la formule de Manning-Strickler, présentée à partir des régimes rugueux du diagramme de Moody. Les notions de nombre de Froude, de hauteurs critique ou normale, de régime fluvial ou torrentiel et de courbes de remous y sont présentées.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