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pour l'ingénieur généraliste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Thual;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9782364936461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charge hydraulique/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principaux concepts utiles pour comprendre, décrire et calculer les phénomènes les plus courants rencontrés dans les applications pratiques faisant in­tervenir l’hydraulique. Le premier chapitre est un rappel d’hydrostatique qui débouche sur la notion de travail fourni par une presse hydraulique. Le passage à la puissance d’une centrale hydroélectrique en régime stationnaire met en évidence la notion de pertes de charge qui est au cœur de l’ouvrage. Le chapitre 2 définit la charge hydrau­lique pour les écoulements souterrains, en charge ou à surface libre. La loi de Darcy pour les écoulements dans des milieux poreux est illustrée par quelques exemples. Le chapitre 3 relie les pertes de charge au frottement sur les parois. Le coefficient de frot­tement est présenté à l’aide d’une analyse dimensionnelle. Sa détermination à l’aide du diagramme de Moody est illustrée à l’aide d’exemples concrets. Le chapitre 4 traite de l’hydraulique en charge à l’aide des formules de Colebrook ou de Hazen-Williams. Le chapitre 5 traite de l’hydraulique à surface libre à l’aide de la formule de Manning-Strickler, présentée à partir des régimes rugueux du diagramme de Moody. Les notions de nombre de Froude, de hauteurs critique ou normale, de régime fluvial ou torrentiel et de courbes de remous y sont présentées.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