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gestion active des aquifères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Detay,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XV-416-[8]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en coul. : ill. en noir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385-404.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2225856230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eaux souterraines/ gestion/ Gestion des ressources en eau/ </w:t>
            </w:r>
          </w:p>
        </w:tc>
      </w:tr>
    </w:tbl>
    <w:p>
      <w:pPr>
        <w:pStyle w:val="Heading3"/>
      </w:pPr>
      <w:r>
        <w:t>Résumé :</w:t>
      </w:r>
    </w:p>
    <w:p>
      <w:r>
        <w:t>Introduction aux bases hydrogéologiques de la gestion des aquifères, dans ses aspects quantitatifs, qualitifs, opérationnels et financiers. L'ouvrage présente le procédé le plus répandu de gestion active à long terme : la réalimentation artificielle de nappe.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