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Fatigue des matériaux et des structures. T1, Introduction, endurance, amorçage et propagation des fissures, fatigue oligocyclique et gigacyclique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Pineau, André/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 Série Matériaux et métallurgie(N°:None)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9782746217119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mécanique de la rupture/ fatigue/ </w:t>
            </w:r>
          </w:p>
        </w:tc>
      </w:tr>
    </w:tbl>
    <w:p>
      <w:pPr>
        <w:pStyle w:val="Heading3"/>
      </w:pPr>
      <w:r>
        <w:t>Résumé :</w:t>
      </w:r>
    </w:p>
    <w:p>
      <w:r>
        <w:t>La fatigue des matériaux et des structures est un ouvrage de synthèsequi rassemble les fondements modernes des connaissances sur la fatiguetant du point de vue mécanique que microstructural. Il s'appuie évidemment sur les deux versions précédentes éditées en 1980 et 1997 par C.Bathias et J.P. Baïlon. Cependant, cet ouvrage a été profondément remanié et inclut des informations sur des matériaux avancépolymères, élastomères et composites, des connaissances nouvelles, comme celles sur les fissures courtes, la fatigue gigacyclique, l'approche locale de la fissuration, la fatigue sous chargements d'amplitude variable et le rôle de l'environnement, la fatigue multiaxiale, l'approche probabiliste du dimensionnement des structures, l'amorçage et la propagation des fissures de fatigue à chaud, la fatigue de contact et lafatigue thermique, des approches nouvelles introduites par des auteurs de réputation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