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Projet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Mangin, David/ Panerai, Philippe/ </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Eupalinos(N°:None)</w:t>
            </w:r>
          </w:p>
        </w:tc>
      </w:tr>
      <w:tr>
        <w:trPr>
          <w:trHeight w:val="567"/>
        </w:trPr>
        <w:tc>
          <w:tcPr>
            <w:tcW w:type="dxa" w:w="3000"/>
          </w:tcPr>
          <w:p>
            <w:r>
              <w:t>Numéro d'Identification</w:t>
            </w:r>
          </w:p>
        </w:tc>
        <w:tc>
          <w:tcPr>
            <w:tcW w:type="dxa" w:w="7000"/>
          </w:tcPr>
          <w:p>
            <w:r>
              <w:t>9782863646045</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Développement communautaire urbain/ </w:t>
            </w:r>
          </w:p>
        </w:tc>
      </w:tr>
    </w:tbl>
    <w:p>
      <w:pPr>
        <w:pStyle w:val="Heading3"/>
      </w:pPr>
      <w:r>
        <w:t>Résumé :</w:t>
      </w:r>
    </w:p>
    <w:p>
      <w:r>
        <w:t>Le bâti ou plus largement les formes urbaines incluent des tracés, des découpages, des dispositions matérialisées, construites, inscrites sur le soi qui conditionnent les capacités de développement et de renouvellement des activités sur un territoire. Inscrites dans une longue durée, ces formes échappent rapidement aux conditions de leur création ; de produits elles deviennent contraintes voire causes. Si dans le passé il semble que l'élaboration de formes susceptibles d'accueillir, voire de favoriser le développement de la vie urbaine ait été de soi, tellement était partagée par les techniciens et les habitants une idée de la ville, la question aujourd'hui ne peut plus être résolue d'une manière quasi naturelle. Trop de ruptures sont intervenues dans les théories et les pratiques de l'urbanisme et la réflexion doit être reprise à la base.</w:t>
        <w:br/>
        <w:br/>
        <w:br/>
        <w:br/>
        <w:t>L'enjeu est clair : sommes-nous encore capables de contribuer modestement au développement des villes, c'est-à-dire non seulement d'étendre les territoires urbanisés et d'accroître le nombre de bâtiments mais de continuer à proposer aux habitants un cadre susceptible de s'adapter aux changements de modes de vie et aux modifications économiques ?</w:t>
        <w:br/>
        <w:br/>
        <w:br/>
        <w:br/>
        <w:t>Cet ouvrage qui s'apparente à un manuel où se mêlent constats et analyses de la réalité et propositions renoue consciemment avec les traités d'urbanisme du début du siècle. Il traite successivement des découpages, parcellaires et de leur ordonnancement en fonction des types bâtis, situe l'espace de la voie dans ses relations avec les terrains desservis et aborde à plus grande échelle la constitution du tissu et l'étude des grands tracés avant de mener une réflexion sur les activités et leur localisation.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