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et utilisations des marqueurs moléculaires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Tersac, Michel/ Bervillé, André/ Institut national de recherche agronomique/ l'Université de Perpignan/ CNRS/ </w:t>
            </w:r>
          </w:p>
        </w:tc>
      </w:tr>
      <w:tr>
        <w:trPr>
          <w:trHeight w:val="567"/>
        </w:trPr>
        <w:tc>
          <w:tcPr>
            <w:tcW w:type="dxa" w:w="3000"/>
          </w:tcPr>
          <w:p>
            <w:r>
              <w:t>Adresse bib.</w:t>
            </w:r>
          </w:p>
        </w:tc>
        <w:tc>
          <w:tcPr>
            <w:tcW w:type="dxa" w:w="7000"/>
          </w:tcPr>
          <w:p>
            <w:r>
              <w:t xml:space="preserve">Institut national de la recherche agronomique/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colloques / INRA(N°:72)</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2738006140</w:t>
            </w:r>
          </w:p>
        </w:tc>
      </w:tr>
      <w:tr>
        <w:trPr>
          <w:trHeight w:val="567"/>
        </w:trPr>
        <w:tc>
          <w:tcPr>
            <w:tcW w:type="dxa" w:w="3000"/>
          </w:tcPr>
          <w:p>
            <w:r>
              <w:t>Sujet(s)</w:t>
            </w:r>
          </w:p>
        </w:tc>
        <w:tc>
          <w:tcPr>
            <w:tcW w:type="dxa" w:w="7000"/>
          </w:tcPr>
          <w:p>
            <w:r>
              <w:t xml:space="preserve">Sondes moléculaires/ biologie moléculaire végétale/ </w:t>
            </w:r>
          </w:p>
        </w:tc>
      </w:tr>
    </w:tbl>
    <w:p>
      <w:pPr>
        <w:pStyle w:val="Heading3"/>
      </w:pPr>
      <w:r>
        <w:t>Résumé :</w:t>
      </w:r>
    </w:p>
    <w:p>
      <w:r>
        <w:t>Cet ouvrage collectif présente les techniques et applications des marqueurs moléculaires en génétique animale et végétale, telles qu’abordées lors du colloque de Montpellier (29–31 mars 1994). Il fait une synthèse des principaux outils méthodologiques — depuis les techniques classiques comme RFLP, RAPD et microsatellites, jusqu’à des approches plus avancées comme DGGE, électrophorèse en champs pulsés et hybridation in situ — et discute de leurs usages pour analyser la diversité génétique, réaliser des cartes génomiques et rechercher des loci de caractères quantitatifs (QTL). L’ouvrage sert de guide pour aider les biologistes, généticiens et praticiens à choisir les marqueurs et méthodes les plus adaptés à leurs études.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