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économique sur sols gonflants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Mouroux, Pierre/ Margron, Patrick/ Pinte, Jean Claude/ Plan urbanisme construction architecture (PUCA)/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méthodes(N°:None)</w:t>
            </w:r>
          </w:p>
        </w:tc>
      </w:tr>
      <w:tr>
        <w:trPr>
          <w:trHeight w:val="567"/>
        </w:trPr>
        <w:tc>
          <w:tcPr>
            <w:tcW w:type="dxa" w:w="3000"/>
          </w:tcPr>
          <w:p>
            <w:r>
              <w:t>Notes Générales</w:t>
            </w:r>
          </w:p>
        </w:tc>
        <w:tc>
          <w:tcPr>
            <w:tcW w:type="dxa" w:w="7000"/>
          </w:tcPr>
          <w:p>
            <w:r>
              <w:t>Bibliogr. p.p 79-82</w:t>
            </w:r>
          </w:p>
        </w:tc>
      </w:tr>
      <w:tr>
        <w:trPr>
          <w:trHeight w:val="567"/>
        </w:trPr>
        <w:tc>
          <w:tcPr>
            <w:tcW w:type="dxa" w:w="3000"/>
          </w:tcPr>
          <w:p>
            <w:r>
              <w:t>Numéro d'Identification</w:t>
            </w:r>
          </w:p>
        </w:tc>
        <w:tc>
          <w:tcPr>
            <w:tcW w:type="dxa" w:w="7000"/>
          </w:tcPr>
          <w:p>
            <w:r>
              <w:t>2715903847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pathologie des constructions/ sols gonflants/ dallages sur sol/ </w:t>
            </w:r>
          </w:p>
        </w:tc>
      </w:tr>
    </w:tbl>
    <w:p>
      <w:pPr>
        <w:pStyle w:val="Heading3"/>
      </w:pPr>
      <w:r>
        <w:t>Résumé :</w:t>
      </w:r>
    </w:p>
    <w:p>
      <w:r>
        <w:t>Cet ouvrage traite des problèmes posés par les sols gonflants (argiles expansives) dans le domaine du bâtiment, en particulier pour l’habitat économique. Ces sols, sensibles aux variations de teneur en eau, provoquent des mouvements de gonflement et de retrait susceptibles d’entraîner fissurations, déformations et désordres structurels.</w:t>
        <w:br/>
        <w:br/>
        <w:t>Le livre commence par une présentation des sols gonflants : nature minéralogique, mécanismes physico-chimiques du gonflement, conditions climatiques et hydrogéologiques favorisant les désordres. Il insiste sur l’importance de la reconnaissance géotechnique préalable et de la caractérisation du potentiel de gonflement.</w:t>
        <w:br/>
        <w:br/>
        <w:t>Une large part de l’ouvrage est consacrée aux désordres observés sur les constructions : pathologies des fondations superficielles, fissures des murs, déformations des dallages, avec des exemples concrets issus de retours d’expérience.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