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utilisations des marqueurs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national de recherche agronomique/ l'Université de Perpignan/ le CNRS/ Tersac, Michel/ Bervillé, André/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INRA(N°:72)</w:t>
            </w:r>
          </w:p>
        </w:tc>
      </w:tr>
      <w:tr>
        <w:trPr>
          <w:trHeight w:val="567"/>
        </w:trPr>
        <w:tc>
          <w:tcPr>
            <w:tcW w:type="dxa" w:w="3000"/>
          </w:tcPr>
          <w:p>
            <w:r>
              <w:t>Numéro d'Identification</w:t>
            </w:r>
          </w:p>
        </w:tc>
        <w:tc>
          <w:tcPr>
            <w:tcW w:type="dxa" w:w="7000"/>
          </w:tcPr>
          <w:p>
            <w:r>
              <w:t>9782738006141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Sondes moléculaires/ biologie moléculaire végétale/ </w:t>
            </w:r>
          </w:p>
        </w:tc>
      </w:tr>
    </w:tbl>
    <w:p>
      <w:pPr>
        <w:pStyle w:val="Heading3"/>
      </w:pPr>
      <w:r>
        <w:t>Résumé :</w:t>
      </w:r>
    </w:p>
    <w:p>
      <w:r>
        <w:t>L’ouvrage est une synthèse technique et pratique sur l’utilisation des marqueurs moléculaires en génétique, résultant d’un colloque tenu à Montpellier (France) du 29 au 31 mars 1994. Il couvre les principaux outils et méthodes employés pour analyser la diversité génétique, élaborer des cartes génomiques et rechercher des QTL (Quantitative Trait Loci) chez les plantes et les animaux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