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Electrotechnique. T3, machines électriques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Milsant, Francis/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240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Notes Générales</w:t>
            </w:r>
          </w:p>
        </w:tc>
        <w:tc>
          <w:tcPr>
            <w:tcW w:type="dxa" w:w="7000"/>
          </w:tcPr>
          <w:p>
            <w:r>
              <w:t>Avant-titre : "Électrotechnique"</w:t>
            </w:r>
          </w:p>
        </w:tc>
      </w:tr>
      <w:tr>
        <w:trPr>
          <w:trHeight w:val="567"/>
        </w:trPr>
        <w:tc>
          <w:tcPr>
            <w:tcW w:type="dxa" w:w="3000"/>
          </w:tcPr>
          <w:p>
            <w:r>
              <w:t>Numéro d'Identification</w:t>
            </w:r>
          </w:p>
        </w:tc>
        <w:tc>
          <w:tcPr>
            <w:tcW w:type="dxa" w:w="7000"/>
          </w:tcPr>
          <w:p>
            <w:r>
              <w:t>2729841180</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machines électriques/ moteurs asynchrones/ </w:t>
            </w:r>
          </w:p>
        </w:tc>
      </w:tr>
    </w:tbl>
    <w:p>
      <w:pPr>
        <w:pStyle w:val="Heading3"/>
      </w:pPr>
      <w:r>
        <w:t>Résumé :</w:t>
      </w:r>
    </w:p>
    <w:p>
      <w:r>
        <w:t>Ce dernier tome sur les machines électriques traite des machines à courant alternatif (machines synchrones et asynchrones) et de la commande électronique. Ces deux techniques sont associées dans un même ouvrage car l'électronique de puissance est devenu un enseignement fondamental : en raison de leur complémentarité, l'ingénieur (ou le technicien en électrotechnique) d'aujourd'hui se doit de posséder de sérieuses connaissances en électronique de puissance. Pour faciliter l'assimilation des cours et montrer l'intérêt actuel des sujets traités, de nombreux exercices (avec leurs solutions) sont proposés à la fin des principaux chapitres, tandis que des problèmes récents sont donnés à la fin du livre. Machines synchrones et asynchrones – Commande électronique – Appendice – Problèmes d'examens.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