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laser pour la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Boutier, Alain/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 Géomécanique(N°:None)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9782746238220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Lasers/ fluide/ dynamique/ </w:t>
            </w:r>
          </w:p>
        </w:tc>
      </w:tr>
    </w:tbl>
    <w:p>
      <w:pPr>
        <w:pStyle w:val="Heading3"/>
      </w:pPr>
      <w:r>
        <w:t>Résumé :</w:t>
      </w:r>
    </w:p>
    <w:p>
      <w:r>
        <w:t>En mécanique des fluides, les mesures non intrusives sont fondamentales pour améliorer la connaissance du comportement des écoulements. Lescartes de vitesse, de température et de concentration, ainsi que la granulométrie des particules dans les écoulements diphasiques, permettent de mieux appréhender les phénomènes physiques, pour ensuite validerles codes de calculs. Les mesures de vitesse (ainsi que de températures et de concentrations de différentes espèces) par des techniques spectroscopiques reposant sur la diffusion des molécules sont bien adaptées à la caractérisation des écoulements rapides et réactifs, elles reposent sur la fluorescence induite par laser, la diffusion Raman Anti-Stokes cohérente ou l'emploi de diodes laser accordables. Dans les écoulements diphasiques, la détermination de la granulométrie des particules par des moyens optiques, ainsi que les principes de diffusion de lalumière sont détaillés. Pour chaque technique, les principes de base sont décrits, ainsi que les dispositifs optiques et de traitements dessignaux. Les principales mesures de sécurité pour utiliser des sourceslaser intenses sont rappelées.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