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Béton armé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Samikian, Aram/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519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2891053281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armé/ torsion/ Règles BAEL / Eurocode/ charges permanentes et variables/ </w:t>
            </w:r>
          </w:p>
        </w:tc>
      </w:tr>
    </w:tbl>
    <w:p>
      <w:pPr>
        <w:pStyle w:val="Heading3"/>
      </w:pPr>
      <w:r>
        <w:t>Résumé :</w:t>
      </w:r>
    </w:p>
    <w:p>
      <w:r>
        <w:t>Cet ouvrage est consacré au dimensionnement des structures en béton armé selon la méthode des états limites, en combinant rigueur théorique et applications pratiques. Il s’adresse principalement aux étudiants en génie civil, ingénieurs et techniciens souhaitant maîtriser les règles modernes de calcul du béton armé.</w:t>
        <w:br/>
        <w:br/>
        <w:t>Le livre commence par une présentation des principes fondamentaux du béton armé : comportement mécanique du béton et de l’acier, adhérence, fissuration et hypothèses de calcul. Il introduit ensuite la philosophie du calcul aux états limites, en distinguant clairement les états limites ultimes (ELU) liés à la sécurité et les états limites de service (ELS) liés à l’usage et à la durabilité des ouvrages.</w:t>
        <w:br/>
        <w:br/>
        <w:t>Une large partie est consacrée au calcul et au dimensionnement des éléments courants :</w:t>
        <w:br/>
        <w:br/>
        <w:t>sections en flexion simple et composée,</w:t>
        <w:br/>
        <w:br/>
        <w:t>éléments soumis à l’effort tranchant et à la torsion,</w:t>
        <w:br/>
        <w:br/>
        <w:t>poteaux, poutres et dalles,</w:t>
        <w:br/>
        <w:br/>
        <w:t>vérification des contraintes, des déformations et de la fissuration.</w:t>
        <w:br/>
        <w:br/>
        <w:t>L’auteur développe les méthodes de calcul conformes aux règlements en vigueur (BAEL / bases de l’Eurocode), en expliquant les coefficients de sécurité, les combinaisons d’actions et les modèles de comportement. De nombreux exemples numériques détaillés et schémas explicatifs permettent d’appliquer concrètement la théorie.</w:t>
        <w:br/>
        <w:br/>
        <w:t>L’ouvrage met enfin l’accent sur le lien entre théorie et pratique de chantier, en aidant le lecteur à interpréter correctement les résultats de calcul et à concevoir des structures sûres, économiques et durables.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