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Faurre, Pierre/ Depeyrot,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 et temps réel(N°:1)</w:t>
            </w:r>
          </w:p>
        </w:tc>
      </w:tr>
      <w:tr>
        <w:trPr>
          <w:trHeight w:val="567"/>
        </w:trPr>
        <w:tc>
          <w:tcPr>
            <w:tcW w:type="dxa" w:w="3000"/>
          </w:tcPr>
          <w:p>
            <w:r>
              <w:t>Notes Générales</w:t>
            </w:r>
          </w:p>
        </w:tc>
        <w:tc>
          <w:tcPr>
            <w:tcW w:type="dxa" w:w="7000"/>
          </w:tcPr>
          <w:p>
            <w:r>
              <w:t>Bibliogr. p.p. 277-280. Index p.p. 281-284</w:t>
            </w:r>
          </w:p>
        </w:tc>
      </w:tr>
      <w:tr>
        <w:trPr>
          <w:trHeight w:val="567"/>
        </w:trPr>
        <w:tc>
          <w:tcPr>
            <w:tcW w:type="dxa" w:w="3000"/>
          </w:tcPr>
          <w:p>
            <w:r>
              <w:t>Numéro d'Identification</w:t>
            </w:r>
          </w:p>
        </w:tc>
        <w:tc>
          <w:tcPr>
            <w:tcW w:type="dxa" w:w="7000"/>
          </w:tcPr>
          <w:p>
            <w:r>
              <w:t>2040063218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commande PID/ réponse temporelle/ </w:t>
            </w:r>
          </w:p>
        </w:tc>
      </w:tr>
    </w:tbl>
    <w:p>
      <w:pPr>
        <w:pStyle w:val="Heading3"/>
      </w:pPr>
      <w:r>
        <w:t>Résumé :</w:t>
      </w:r>
    </w:p>
    <w:p>
      <w:r>
        <w:t>Cet ouvrage est destiné aux étudiants et aux professionnels souhaitant acquérir une compréhension solide des principes de l’automatique et de leur application dans le monde réel. Il propose une approche didactique avec des exemples pratiques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