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V4, Analyse des structures et milieux continus, structures en barres et poutres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Lestuzzi, Pierino/ Pflug, Léopold/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X-243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9782880746834</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 milieu continu/ barre et fil élastique/ </w:t>
            </w:r>
          </w:p>
        </w:tc>
      </w:tr>
    </w:tbl>
    <w:p>
      <w:pPr>
        <w:pStyle w:val="Heading3"/>
      </w:pPr>
      <w:r>
        <w:t>Résumé :</w:t>
      </w:r>
    </w:p>
    <w:p>
      <w:r>
        <w:t>La compréhension du comportement mécanique des structures fait partie des connaissances de base de l'ingénieur en génie civil. Celui-ci se doit en effet de maîtriser l'analyse des structures hyperstatiques, afin de pouvoir déterminer les efforts intérieurs et l'état déformé des structures soumises aux diverses charges.</w:t>
        <w:br/>
        <w:br/>
        <w:br/>
        <w:br/>
        <w:t>Cet ouvrage traite de l'analyse des structures hyperstatiques par les deux méthodes de résolution incontournables que sont la méthode des forces et la méthode des déplacements. Malgré le développement des outils numériques, une excellente connaissance de ces techniques est indispensable pour acquérir une compréhension intuitive du comportement des structures, être en mesure de choisir la bonne modélisation et pouvoir apprécier de manière critique les résultats de calculs à l'ordinateur.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