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Cartographie thématique. 5, Des voies nouvelles à explorer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Colette, Cauvin/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Traité IGAT. Aspects fondamentaux de l'analyse spatiale(N°:None)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243-299. Index p.p. 303-311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9782746222083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Protocoles de mise en œuvre/ Études de cas/ </w:t>
            </w:r>
          </w:p>
        </w:tc>
      </w:tr>
    </w:tbl>
    <w:p>
      <w:pPr>
        <w:pStyle w:val="Heading3"/>
      </w:pPr>
      <w:r>
        <w:t>Résumé :</w:t>
      </w:r>
    </w:p>
    <w:p>
      <w:r>
        <w:t>Ce cinquième tome est le complément opérationnel de la série. Alors que les tomes précédents développent les concepts théoriques et les algorithmes, celui-ci est conçu comme un guide méthodologique et technique.</w:t>
        <w:br/>
        <w:br/>
        <w:br/>
        <w:br/>
        <w:t>Il propose des protocoles de réalisation, des études de cas concrets et des approfondissements sur les outils logiciels. Son but est de transformer le savoir théorique en savoir-faire, en guidant l'utilisateur à travers les étapes de la construction d'une carte, du choix du logiciel à la production finale, tout en respectant la rigueur scientifique établie dans les volumes précédents.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