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4, Des transformations renouvelées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IGAT. Aspects fondamentaux de l'analyse spatiale(N°:None)</w:t>
            </w:r>
          </w:p>
        </w:tc>
      </w:tr>
      <w:tr>
        <w:trPr>
          <w:trHeight w:val="567"/>
        </w:trPr>
        <w:tc>
          <w:tcPr>
            <w:tcW w:type="dxa" w:w="3000"/>
          </w:tcPr>
          <w:p>
            <w:r>
              <w:t>Notes Générales</w:t>
            </w:r>
          </w:p>
        </w:tc>
        <w:tc>
          <w:tcPr>
            <w:tcW w:type="dxa" w:w="7000"/>
          </w:tcPr>
          <w:p>
            <w:r>
              <w:t>Bibliogr. p.p. 151-182. Index p.p. 185-190</w:t>
            </w:r>
          </w:p>
        </w:tc>
      </w:tr>
      <w:tr>
        <w:trPr>
          <w:trHeight w:val="567"/>
        </w:trPr>
        <w:tc>
          <w:tcPr>
            <w:tcW w:type="dxa" w:w="3000"/>
          </w:tcPr>
          <w:p>
            <w:r>
              <w:t>Numéro d'Identification</w:t>
            </w:r>
          </w:p>
        </w:tc>
        <w:tc>
          <w:tcPr>
            <w:tcW w:type="dxa" w:w="7000"/>
          </w:tcPr>
          <w:p>
            <w:r>
              <w:t>9782746222076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cartographie interactive/ géovisualisation/ </w:t>
            </w:r>
          </w:p>
        </w:tc>
      </w:tr>
    </w:tbl>
    <w:p>
      <w:pPr>
        <w:pStyle w:val="Heading3"/>
      </w:pPr>
      <w:r>
        <w:t>Résumé :</w:t>
      </w:r>
    </w:p>
    <w:p>
      <w:r>
        <w:t>Le quatrième volume concerne des méthodes existant depuis de nombreuses années mais renouvelées par l'apparition de l'ordinateur tant au niveau des transformations cartographiques (anamorphoses) que des transformations d'affichage (représentations 2. 5D et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