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 et informatique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Blin, D./ Danic, J./ Trolez, F./ Le Garrec, R./ </w:t>
            </w:r>
          </w:p>
        </w:tc>
      </w:tr>
      <w:tr>
        <w:trPr>
          <w:trHeight w:val="567"/>
        </w:trPr>
        <w:tc>
          <w:tcPr>
            <w:tcW w:type="dxa" w:w="3000"/>
          </w:tcPr>
          <w:p>
            <w:r>
              <w:t>Adresse bib.</w:t>
            </w:r>
          </w:p>
        </w:tc>
        <w:tc>
          <w:tcPr>
            <w:tcW w:type="dxa" w:w="7000"/>
          </w:tcPr>
          <w:p>
            <w:r>
              <w:t xml:space="preserve">Éducalivre-Casteilla/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Collection A. Capliez(N°:None)</w:t>
            </w:r>
          </w:p>
        </w:tc>
      </w:tr>
      <w:tr>
        <w:trPr>
          <w:trHeight w:val="567"/>
        </w:trPr>
        <w:tc>
          <w:tcPr>
            <w:tcW w:type="dxa" w:w="3000"/>
          </w:tcPr>
          <w:p>
            <w:r>
              <w:t>Numéro d'Identification</w:t>
            </w:r>
          </w:p>
        </w:tc>
        <w:tc>
          <w:tcPr>
            <w:tcW w:type="dxa" w:w="7000"/>
          </w:tcPr>
          <w:p>
            <w:r>
              <w:t>2713515203</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629.8 / </w:t>
            </w:r>
          </w:p>
        </w:tc>
      </w:tr>
      <w:tr>
        <w:trPr>
          <w:trHeight w:val="567"/>
        </w:trPr>
        <w:tc>
          <w:tcPr>
            <w:tcW w:type="dxa" w:w="3000"/>
          </w:tcPr>
          <w:p>
            <w:r>
              <w:t>Sujet(s)</w:t>
            </w:r>
          </w:p>
        </w:tc>
        <w:tc>
          <w:tcPr>
            <w:tcW w:type="dxa" w:w="7000"/>
          </w:tcPr>
          <w:p>
            <w:r>
              <w:t xml:space="preserve">contrôle en boucle ouverte/ formation continue/ </w:t>
            </w:r>
          </w:p>
        </w:tc>
      </w:tr>
    </w:tbl>
    <w:p>
      <w:pPr>
        <w:pStyle w:val="Heading3"/>
      </w:pPr>
      <w:r>
        <w:t>Résumé :</w:t>
      </w:r>
    </w:p>
    <w:p>
      <w:r>
        <w:t>Cet ouvrage  constitue une ressource complète pour les étudiants et les professionnels, alliant théorie et pratique dans le domaine de l’automatique et de l’informatique industrielle, avec un accent sur la préparation aux examens et à l’application dans le monde du travail.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