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Automatique et informatique industrielle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Blin, D./ Danic, J./ Trolez, F./ Le Garrec, R./ </w:t>
            </w:r>
          </w:p>
        </w:tc>
      </w:tr>
      <w:tr>
        <w:trPr>
          <w:trHeight w:val="567"/>
        </w:trPr>
        <w:tc>
          <w:tcPr>
            <w:tcW w:type="dxa" w:w="3000"/>
          </w:tcPr>
          <w:p>
            <w:r>
              <w:t>Adresse bib.</w:t>
            </w:r>
          </w:p>
        </w:tc>
        <w:tc>
          <w:tcPr>
            <w:tcW w:type="dxa" w:w="7000"/>
          </w:tcPr>
          <w:p>
            <w:r>
              <w:t xml:space="preserve">Éducalivre-Casteilla/ </w:t>
            </w:r>
          </w:p>
        </w:tc>
      </w:tr>
      <w:tr>
        <w:trPr>
          <w:trHeight w:val="567"/>
        </w:trPr>
        <w:tc>
          <w:tcPr>
            <w:tcW w:type="dxa" w:w="3000"/>
          </w:tcPr>
          <w:p>
            <w:r>
              <w:t>Nombre de Pages</w:t>
            </w:r>
          </w:p>
        </w:tc>
        <w:tc>
          <w:tcPr>
            <w:tcW w:type="dxa" w:w="7000"/>
          </w:tcPr>
          <w:p>
            <w:r>
              <w:t>255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Collection A. Capliez(N°:None)</w:t>
            </w:r>
          </w:p>
        </w:tc>
      </w:tr>
      <w:tr>
        <w:trPr>
          <w:trHeight w:val="567"/>
        </w:trPr>
        <w:tc>
          <w:tcPr>
            <w:tcW w:type="dxa" w:w="3000"/>
          </w:tcPr>
          <w:p>
            <w:r>
              <w:t>Numéro d'Identification</w:t>
            </w:r>
          </w:p>
        </w:tc>
        <w:tc>
          <w:tcPr>
            <w:tcW w:type="dxa" w:w="7000"/>
          </w:tcPr>
          <w:p>
            <w:r>
              <w:t>2713515203</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contrôle en boucle ouverte/ formation continue/ </w:t>
            </w:r>
          </w:p>
        </w:tc>
      </w:tr>
    </w:tbl>
    <w:p>
      <w:pPr>
        <w:pStyle w:val="Heading3"/>
      </w:pPr>
      <w:r>
        <w:t>Résumé :</w:t>
      </w:r>
    </w:p>
    <w:p>
      <w:r>
        <w:t>Cet ouvrage  constitue une ressource complète pour les étudiants et les professionnels, alliant théorie et pratique dans le domaine de l’automatique et de l’informatique industrielle, avec un accent sur la préparation aux examens et à l’application dans le monde du travail.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