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SAI, Wassila/ </w:t>
            </w:r>
          </w:p>
        </w:tc>
      </w:tr>
      <w:tr>
        <w:trPr>
          <w:trHeight w:val="567"/>
        </w:trPr>
        <w:tc>
          <w:tcPr>
            <w:tcW w:type="dxa" w:w="3000"/>
          </w:tcPr>
          <w:p>
            <w:r>
              <w:t>Adresse bib.</w:t>
            </w:r>
          </w:p>
        </w:tc>
        <w:tc>
          <w:tcPr>
            <w:tcW w:type="dxa" w:w="7000"/>
          </w:tcPr>
          <w:p>
            <w:r>
              <w:t xml:space="preserve">CPU/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9789973370662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usinage/ rabotage/ avance/ </w:t>
            </w:r>
          </w:p>
        </w:tc>
      </w:tr>
    </w:tbl>
    <w:p>
      <w:pPr>
        <w:pStyle w:val="Heading3"/>
      </w:pPr>
      <w:r>
        <w:t>Résumé :</w:t>
      </w:r>
    </w:p>
    <w:p>
      <w:r>
        <w:t>Cet ouvrage est une référence en fabrication mécanique. Il présente de manière progressive et pédagogique l’ensemble des procédés d’usinage par enlèvement de matière, en mettant l’accent sur les principes physiques, les outils, les machines-outils et les méthodes de mise en œuvre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