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Information géographique(N°:None)</w:t>
            </w:r>
          </w:p>
        </w:tc>
      </w:tr>
      <w:tr>
        <w:trPr>
          <w:trHeight w:val="567"/>
        </w:trPr>
        <w:tc>
          <w:tcPr>
            <w:tcW w:type="dxa" w:w="3000"/>
          </w:tcPr>
          <w:p>
            <w:r>
              <w:t>Notes Générales</w:t>
            </w:r>
          </w:p>
        </w:tc>
        <w:tc>
          <w:tcPr>
            <w:tcW w:type="dxa" w:w="7000"/>
          </w:tcPr>
          <w:p>
            <w:r>
              <w:t>Bibliogr. p.p. 239-263. Index p.p. 265-272</w:t>
            </w:r>
          </w:p>
        </w:tc>
      </w:tr>
      <w:tr>
        <w:trPr>
          <w:trHeight w:val="567"/>
        </w:trPr>
        <w:tc>
          <w:tcPr>
            <w:tcW w:type="dxa" w:w="3000"/>
          </w:tcPr>
          <w:p>
            <w:r>
              <w:t>Numéro d'Identification</w:t>
            </w:r>
          </w:p>
        </w:tc>
        <w:tc>
          <w:tcPr>
            <w:tcW w:type="dxa" w:w="7000"/>
          </w:tcPr>
          <w:p>
            <w:r>
              <w:t>9782746215368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sémiologie graphique/ variables visuelles/ </w:t>
            </w:r>
          </w:p>
        </w:tc>
      </w:tr>
    </w:tbl>
    <w:p>
      <w:pPr>
        <w:pStyle w:val="Heading3"/>
      </w:pPr>
      <w:r>
        <w:t>Résumé :</w:t>
      </w:r>
    </w:p>
    <w:p>
      <w:r>
        <w:t>Cet ouvrage, en 5 volumes, porte sur la cartographie thématique. La carte y est considérée comme une construction issue de processus de transformations, comprenant des étapes successives, placées dans un ordre strict, intégrées dans un raisonnement logique et impliquant des choix. Les deux premiers volumes regroupent les transformations indispensables pour la production de toute carte thématique, appuyée sur la démarche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