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Théron,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scientifiques(N°:None)</w:t>
            </w:r>
          </w:p>
        </w:tc>
      </w:tr>
      <w:tr>
        <w:trPr>
          <w:trHeight w:val="567"/>
        </w:trPr>
        <w:tc>
          <w:tcPr>
            <w:tcW w:type="dxa" w:w="3000"/>
          </w:tcPr>
          <w:p>
            <w:r>
              <w:t>Notes Générales</w:t>
            </w:r>
          </w:p>
        </w:tc>
        <w:tc>
          <w:tcPr>
            <w:tcW w:type="dxa" w:w="7000"/>
          </w:tcPr>
          <w:p>
            <w:r>
              <w:t>Index p.p. 365-368</w:t>
            </w:r>
          </w:p>
        </w:tc>
      </w:tr>
      <w:tr>
        <w:trPr>
          <w:trHeight w:val="567"/>
        </w:trPr>
        <w:tc>
          <w:tcPr>
            <w:tcW w:type="dxa" w:w="3000"/>
          </w:tcPr>
          <w:p>
            <w:r>
              <w:t>Numéro d'Identification</w:t>
            </w:r>
          </w:p>
        </w:tc>
        <w:tc>
          <w:tcPr>
            <w:tcW w:type="dxa" w:w="7000"/>
          </w:tcPr>
          <w:p>
            <w:r>
              <w:t>2729825185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logique numérique/ théorie du contrôle/ </w:t>
            </w:r>
          </w:p>
        </w:tc>
      </w:tr>
    </w:tbl>
    <w:p>
      <w:pPr>
        <w:pStyle w:val="Heading3"/>
      </w:pPr>
      <w:r>
        <w:t>Résumé :</w:t>
      </w:r>
    </w:p>
    <w:p>
      <w:r>
        <w:t>Cet ouvrage  est destiné aux étudiants des classes préparatoires scientifiques ― filières MPSI/MP, PCSI/PSI et PTSI/PT ― suivant un enseignement de Sciences de l'Ingénieur, ainsi qu'à ceux des IUT, des STS et du premier cycle universitaire scientifique dont les programmes de formation sont similaires. Il peut également répondre à l'attente d'étudiants de niveaux supérieurs : écoles d'ingénieurs, second cycle universitaire, formation continue. Son propos, décomposé en 3 chapitres, aborde la Logique combinatoire (opérateurs logiques,…) puis la Logique séquentielle (état, bascule, …) pour aboutir naturellement au modèle GRAFCET (norme CEI/IEC 60848 d'août 2002).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