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Lucotte, Gérard/ </w:t>
            </w:r>
          </w:p>
        </w:tc>
      </w:tr>
      <w:tr>
        <w:trPr>
          <w:trHeight w:val="567"/>
        </w:trPr>
        <w:tc>
          <w:tcPr>
            <w:tcW w:type="dxa" w:w="3000"/>
          </w:tcPr>
          <w:p>
            <w:r>
              <w:t>Adresse bib.</w:t>
            </w:r>
          </w:p>
        </w:tc>
        <w:tc>
          <w:tcPr>
            <w:tcW w:type="dxa" w:w="7000"/>
          </w:tcPr>
          <w:p>
            <w:r>
              <w:t xml:space="preserve">Etudes vivantes/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Academic press(N°:None)</w:t>
            </w:r>
          </w:p>
        </w:tc>
      </w:tr>
      <w:tr>
        <w:trPr>
          <w:trHeight w:val="567"/>
        </w:trPr>
        <w:tc>
          <w:tcPr>
            <w:tcW w:type="dxa" w:w="3000"/>
          </w:tcPr>
          <w:p>
            <w:r>
              <w:t>Numéro d'Identification</w:t>
            </w:r>
          </w:p>
        </w:tc>
        <w:tc>
          <w:tcPr>
            <w:tcW w:type="dxa" w:w="7000"/>
          </w:tcPr>
          <w:p>
            <w:r>
              <w:t>2731061065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w:t>
            </w:r>
          </w:p>
        </w:tc>
      </w:tr>
    </w:tbl>
    <w:p>
      <w:pPr>
        <w:pStyle w:val="Heading3"/>
      </w:pPr>
      <w:r>
        <w:t>Résumé :</w:t>
      </w:r>
    </w:p>
    <w:p>
      <w:r>
        <w:t>Ce livre est conçu comme un outil d’entraînement pratique en génétique, adapté au programme enseigné en première année de médecine (PCEM). Il propose une série d’exercices corrigés, souvent courts, qui couvrent l’ensemble des sujets fondamentaux de la génétique que l’on rencontre au cours du premier cycle médical.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