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Thérapies moléculaires ciblées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Vignot, Stéphane/ Soria, Jean-Charles/ </w:t>
            </w:r>
          </w:p>
        </w:tc>
      </w:tr>
      <w:tr>
        <w:trPr>
          <w:trHeight w:val="567"/>
        </w:trPr>
        <w:tc>
          <w:tcPr>
            <w:tcW w:type="dxa" w:w="3000"/>
          </w:tcPr>
          <w:p>
            <w:r>
              <w:t>Adresse bib.</w:t>
            </w:r>
          </w:p>
        </w:tc>
        <w:tc>
          <w:tcPr>
            <w:tcW w:type="dxa" w:w="7000"/>
          </w:tcPr>
          <w:p>
            <w:r>
              <w:t xml:space="preserve">J. Libbey Eurotext/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9782742006861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thérapie moléculaire ciblée/ </w:t>
            </w:r>
          </w:p>
        </w:tc>
      </w:tr>
    </w:tbl>
    <w:p>
      <w:pPr>
        <w:pStyle w:val="Heading3"/>
      </w:pPr>
      <w:r>
        <w:t>Résumé :</w:t>
      </w:r>
    </w:p>
    <w:p>
      <w:r>
        <w:t>Cet ouvrage propose un état des lieux précis des thérapies moléculaires ciblées autorisées ou à venir. Les mécanismes prédominants dans l'oncogenèse sont ainsi considérés, allant de l'activation de récepteurs membranaires à la dérégulation des processus nucléaires (cycle cellulaire, régulation épigénétique, contrôle de la mitose et de la sénescence), en passant par les voies de transduction cytoplasmiques, sans oublier d'analyser les interactions essentielles des cellules tumorales avec leur environnement (angiogenèse, remodelage du stroma).Pour chacun de ces mécanismes, les auteurs rappellent les bases moléculaires et décrivent les arguments justifiant l'intérêt porté en termede ciblage thérapeutique.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