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Échantillonnage et 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Nicolas, J./ </w:t>
            </w:r>
          </w:p>
        </w:tc>
      </w:tr>
      <w:tr>
        <w:trPr>
          <w:trHeight w:val="567"/>
        </w:trPr>
        <w:tc>
          <w:tcPr>
            <w:tcW w:type="dxa" w:w="3000"/>
          </w:tcPr>
          <w:p>
            <w:r>
              <w:t>Adresse bib.</w:t>
            </w:r>
          </w:p>
        </w:tc>
        <w:tc>
          <w:tcPr>
            <w:tcW w:type="dxa" w:w="7000"/>
          </w:tcPr>
          <w:p>
            <w:r>
              <w:t xml:space="preserve">CEBEDOC/ </w:t>
            </w:r>
          </w:p>
        </w:tc>
      </w:tr>
      <w:tr>
        <w:trPr>
          <w:trHeight w:val="567"/>
        </w:trPr>
        <w:tc>
          <w:tcPr>
            <w:tcW w:type="dxa" w:w="3000"/>
          </w:tcPr>
          <w:p>
            <w:r>
              <w:t>Nombre de Pages</w:t>
            </w:r>
          </w:p>
        </w:tc>
        <w:tc>
          <w:tcPr>
            <w:tcW w:type="dxa" w:w="7000"/>
          </w:tcPr>
          <w:p>
            <w:r>
              <w:t>189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2870800363</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pollution/ mesure en continu/ </w:t>
            </w:r>
          </w:p>
        </w:tc>
      </w:tr>
    </w:tbl>
    <w:p>
      <w:pPr>
        <w:pStyle w:val="Heading3"/>
      </w:pPr>
      <w:r>
        <w:t>Résumé :</w:t>
      </w:r>
    </w:p>
    <w:p>
      <w:r>
        <w:t>Introduction. Le sol dans tous ses états , arguments de pédologie opérationnelle. Influence de la méthode d'estimation et de la maille de reconnaissance sur la quantification des pollutions , études méthodologiques de 2D. Signification, représentativité et précision : des termes clés pour l'échantillonnage. Caractérisation des déchets ménagers en région Bruxelles-capitale : principes et méthode d'échantillonnage. Approche théorique de l'échantillonnage d'une grandeur de comportement : cas de lixiviation d'un déchet. Techniques de prélèvement et d'échantillonnage et terrains meubles hétérogènes jusqu'à 20 mètres. Méthodologie appliquée de prélèvements dirigés en vue de l'identification et l'évaluation des sites pollués et des sites à risques. Intérêt et difficultés de la mesure en continu. Prélèvement d'échantillons gazeux en vue d'analyses olfactométriques. Les techniques d'analyses ponctuelles à l'émission. Relevé ornithologiques appliqués aux études d'incidences. L'analyse critique des connaissances antérieures peut guider utilement les procédures d'échantillonnage de descripteurs phytoecologiques de l'environnement. Conclusion.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