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Efflorescences toxiques des eaux côtières françaises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Berland, Brigitte R/ Lassus, Patrick/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Repères océan(N°:13)</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2905434775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phytoplancton marin/ Toxicologie/ </w:t>
            </w:r>
          </w:p>
        </w:tc>
      </w:tr>
    </w:tbl>
    <w:p>
      <w:pPr>
        <w:pStyle w:val="Heading3"/>
      </w:pPr>
      <w:r>
        <w:t>Résumé :</w:t>
      </w:r>
    </w:p>
    <w:p>
      <w:r>
        <w:t>Les efflorescences toxiques des eaux côtières françaises, souvent appelées blooms algaux nuisibles, constituent un enjeu majeur pour les écosystèmes marins, la santé humaine et les activités économiques littorales. Ces phénomènes, liés à la prolifération excessive de microalgues toxiques, sont influencés par des facteurs environnementaux, climatiques et anthropiques.</w:t>
        <w:br/>
        <w:br/>
        <w:t>Cet ouvrage analyse les mécanismes écologiques à l’origine de ces efflorescences, les processus écophysiologiques gouvernant la croissance et la toxicité des espèces concernées, ainsi que les effets toxicologiques des phycotoxines sur les organismes marins et l’homme. Une attention particulière est portée aux spécificités des côtes françaises, aux impacts sur la conchyliculture et à la surveillance des risques sanitaires. Enfin, le document aborde les stratégies de suivi, de prévention et de gestion face à l’augmentation et à l’intensification de ces phénomènes dans un contexte de changement global.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