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production sous serre.T2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XIII-210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2743002069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Cultures en serre/ Milieux nutritifs artificiels/ </w:t>
            </w:r>
          </w:p>
        </w:tc>
      </w:tr>
    </w:tbl>
    <w:p>
      <w:pPr>
        <w:pStyle w:val="Heading3"/>
      </w:pPr>
      <w:r>
        <w:t>Résumé :</w:t>
      </w:r>
    </w:p>
    <w:p>
      <w:r>
        <w:t>L'objectif de cette introduction à la production sous serre est d'aider les producteurs, les chefs de culture, les conseillers horticoles ou les maraîchers à renforcer leur expertise en leur fournissant un certain nombre d'éléments de connaissance et de raisonnements opérationnels. Elle s'adresse tout aussi utilement aux enseignants, étudiants, chercheurs ou candidats à l'installation. Complétant naturellement le tome 1 qui étudie la gestion du climat, le présent volume, consacré à l'irrigation fertilisante en culture hors sol, peut toutefois être lu indépendamment. Il décrit les effets des déficits hydriques, des stress salins, des carences et toxicités minérales, du manque d'oxygène, et étudie ensuite le choix du substrat, l'arrosage et la fertilisation. Il propose enfin des techniques de calcul des solutions nutritives, de réduction des rejets polluants et de maîtrise du développement des maladies.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