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Thermomécanique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Bérest, Pierre/ Weber, Philippe/ </w:t>
            </w:r>
          </w:p>
        </w:tc>
      </w:tr>
      <w:tr>
        <w:trPr>
          <w:trHeight w:val="567"/>
        </w:trPr>
        <w:tc>
          <w:tcPr>
            <w:tcW w:type="dxa" w:w="3000"/>
          </w:tcPr>
          <w:p>
            <w:r>
              <w:t>Adresse bib.</w:t>
            </w:r>
          </w:p>
        </w:tc>
        <w:tc>
          <w:tcPr>
            <w:tcW w:type="dxa" w:w="7000"/>
          </w:tcPr>
          <w:p>
            <w:r>
              <w:t xml:space="preserve">Ed. du BRGM/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Bureau de recherches géologiques et minières(N°:16)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2715903863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ingénierie géotechnique/ géothermie/ </w:t>
            </w:r>
          </w:p>
        </w:tc>
      </w:tr>
    </w:tbl>
    <w:p>
      <w:pPr>
        <w:pStyle w:val="Heading3"/>
      </w:pPr>
      <w:r>
        <w:t>Résumé :</w:t>
      </w:r>
    </w:p>
    <w:p>
      <w:r>
        <w:t>Cet ouvrage est une référence pour les chercheurs et les professionnels intéressés par la compréhension des processus thermomécaniques qui gouvernent le comportement des roches, en fournissant des bases théoriques et des études de cas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