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construction des moteurs alternatifs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Arquès,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X-275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 : niveau C(N°:None)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2729800743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énergétique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621.042/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moteurs à combustion interne/ </w:t>
            </w:r>
          </w:p>
        </w:tc>
      </w:tr>
    </w:tbl>
    <w:p>
      <w:pPr>
        <w:pStyle w:val="Heading3"/>
      </w:pPr>
      <w:r>
        <w:t>Résumé :</w:t>
      </w:r>
    </w:p>
    <w:p>
      <w:r>
        <w:t>Après l'analyse des cycles théoriques et réels des moteurs alternatifs (admission, compression, combustion, détente, échappement, performances), qu'il a développée dans un premier ouvrage de la même collection, l'auteur étudie et analyse ici tous les problèmes théoriques et pratiques liés à la conception et à la construction de ces moteurs :</w:t>
        <w:br/>
        <w:br/>
        <w:t>– la suralimentation mécanique et par turbo compresseur,</w:t>
        <w:br/>
        <w:br/>
        <w:t>– l'introduction du carburant : carburateur ou injection basse et haute pression,</w:t>
        <w:br/>
        <w:br/>
        <w:t>– les transferts thermiques stationnaires et instationnaires,</w:t>
        <w:br/>
        <w:br/>
        <w:t>– la conception et la construction en fonction des contraintes (coût, série…),</w:t>
        <w:br/>
        <w:br/>
        <w:t>– les moteurs non classiques : rotatifs, à pistons libres, fonctionnant en atmosphère confinée, à boule chaude, cryogéniques, ou destinés à la compétition.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