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Autoanticorps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Meyer, Olivier/ Rouquette, Anne-Marie/ Youinou, Pierre/ </w:t>
            </w:r>
          </w:p>
        </w:tc>
      </w:tr>
      <w:tr>
        <w:trPr>
          <w:trHeight w:val="567"/>
        </w:trPr>
        <w:tc>
          <w:tcPr>
            <w:tcW w:type="dxa" w:w="3000"/>
          </w:tcPr>
          <w:p>
            <w:r>
              <w:t>Adresse bib.</w:t>
            </w:r>
          </w:p>
        </w:tc>
        <w:tc>
          <w:tcPr>
            <w:tcW w:type="dxa" w:w="7000"/>
          </w:tcPr>
          <w:p>
            <w:r>
              <w:t xml:space="preserve">BMD/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2951060017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 autoimmune/ diagnostic immunologique/ </w:t>
            </w:r>
          </w:p>
        </w:tc>
      </w:tr>
    </w:tbl>
    <w:p>
      <w:pPr>
        <w:pStyle w:val="Heading3"/>
      </w:pPr>
      <w:r>
        <w:t>Résumé :</w:t>
      </w:r>
    </w:p>
    <w:p>
      <w:r>
        <w:t>AUTOANTICORPS, MARQUEURS DES MALADIES AUTOIMMUNES se propose de mettre à la disposition des biologistes et des cliniciens un outil complet, sinon exhaustif, pour appréhender l'aspect humoral des maladies auto-immunes, à partir de la mise en évidence et de la caractérisation des principaux autoanticorps. En début d'ouvrage, trois chapitres fondamentaux et généraux traitent de la pathogénie des maladies autoimmunes et de la signification des autoanticorps en médecine. Les chapitres suivants comprennent quelques notions théoriques sur les cibles antigéniques et le rôle pathogène éventuel des autoanticorps, et une partie pratique sur leurs méthodes de mise en évidence et leur signification en immunologie clinique. Des illustrations en couleurs servent de guide aux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