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acier. P1-1, Règles générales et règles pour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européen de normalisation/ Brozzetti,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2212100167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eurocode 3/ acier de construction/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Les Eurocodes reproduisent également les adaptations nationales, dont la réunion constitue le Document d'application nationale (DAN), qui prend en compte les particularités de chaque pays. Les Eurocodes sont applicables, en totalité ou en partie, dans le cadre contractuel d'un marché public au privé, s'ils sont mentionnés dans le Cahier des clauses administratives particulières (CCAP) dans le premier cas, ou dans les Documents particuliers du marché (DMP), dans le second cas. Dans quelques années, ils remplaceront les normes nationales en vigueur dans les secteurs correspondants. L'Eurocode 3 énonce les règles concernant le Calcul des structures en acier, et plus particulièrement les Règles générales et règles pour le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