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structures en acier. P1-1, Règles générales et règles pour les bâtiments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Comité européen de normalisation/ Brozzetti, Jacques/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2212100167</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eurocode 3/ acier de construction/ </w:t>
            </w:r>
          </w:p>
        </w:tc>
      </w:tr>
    </w:tbl>
    <w:p>
      <w:pPr>
        <w:pStyle w:val="Heading3"/>
      </w:pPr>
      <w:r>
        <w:t>Résumé :</w:t>
      </w:r>
    </w:p>
    <w:p>
      <w:r>
        <w:t>Les pays de l'Union européenne ont décidé d'harmoniser les normes régissant les domaines du bâtiment, des travaux publics et du génie civil. Appelées Eurocodes structuraux, elles regroupent un ensemble de normes expérimentales réglementant le calcul, la conception et la justification des structures. Les Eurocodes reproduisent également les adaptations nationales, dont la réunion constitue le Document d'application nationale (DAN), qui prend en compte les particularités de chaque pays. Les Eurocodes sont applicables, en totalité ou en partie, dans le cadre contractuel d'un marché public au privé, s'ils sont mentionnés dans le Cahier des clauses administratives particulières (CCAP) dans le premier cas, ou dans les Documents particuliers du marché (DMP), dans le second cas. Dans quelques années, ils remplaceront les normes nationales en vigueur dans les secteurs correspondants. L'Eurocode 3 énonce les règles concernant le Calcul des structures en acier, et plus particulièrement les Règles générales et règles pour le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