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de la matiére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Kechroud, Nassima/ Maouche, Nassima/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9789991025109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moderne/ solide liquide/ </w:t>
            </w:r>
          </w:p>
        </w:tc>
      </w:tr>
    </w:tbl>
    <w:p>
      <w:pPr>
        <w:pStyle w:val="Heading3"/>
      </w:pPr>
      <w:r>
        <w:t>Résumé :</w:t>
      </w:r>
    </w:p>
    <w:p>
      <w:r>
        <w:t>Lastructure de la matière étudie la constitution intime de la matière et l’organisation de ses constituants fondamentaux, depuis l’échelle macroscopique jusqu’à l’échelle microscopique. Elle repose principalement sur les apports de la **physique moderne** et de la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