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Sang en anesthésie et en réanimation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d'enseignement post-universitaire d'anesthésiologie et de réanimation/ </w:t>
            </w:r>
          </w:p>
        </w:tc>
      </w:tr>
      <w:tr>
        <w:trPr>
          <w:trHeight w:val="567"/>
        </w:trPr>
        <w:tc>
          <w:tcPr>
            <w:tcW w:type="dxa" w:w="3000"/>
          </w:tcPr>
          <w:p>
            <w:r>
              <w:t>Adresse bib.</w:t>
            </w:r>
          </w:p>
        </w:tc>
        <w:tc>
          <w:tcPr>
            <w:tcW w:type="dxa" w:w="7000"/>
          </w:tcPr>
          <w:p>
            <w:r>
              <w:t xml:space="preserve">Arnette/ </w:t>
            </w:r>
          </w:p>
        </w:tc>
      </w:tr>
      <w:tr>
        <w:trPr>
          <w:trHeight w:val="567"/>
        </w:trPr>
        <w:tc>
          <w:tcPr>
            <w:tcW w:type="dxa" w:w="3000"/>
          </w:tcPr>
          <w:p>
            <w:r>
              <w:t>Nombre de Pages</w:t>
            </w:r>
          </w:p>
        </w:tc>
        <w:tc>
          <w:tcPr>
            <w:tcW w:type="dxa" w:w="7000"/>
          </w:tcPr>
          <w:p>
            <w:r>
              <w:t>Paris</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2718401702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 sang/ anésthésie/ réanimation/ </w:t>
            </w:r>
          </w:p>
        </w:tc>
      </w:tr>
    </w:tbl>
    <w:p>
      <w:pPr>
        <w:pStyle w:val="Heading3"/>
      </w:pPr>
      <w:r>
        <w:t>Résumé :</w:t>
      </w:r>
    </w:p>
    <w:p>
      <w:r>
        <w:t>Cet ouvrage est un manuel spécialisé destiné aux anesthésistes, réanimateurs, internes et professionnels paramédicaux travaillant en soins critiques. Il propose une approche complète et actualisée sur l’utilisation du sang et des produits sanguins labiles (PSL) dans les contextes d’anesthésie et de réanimation, basée sur les interventions des journées d’enseignement post-universitaire.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