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machine asynchrone à vitesse variable. V2, capteurs, modèles, contrôle et diagnostic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Razik, Hubert/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Notes Générales</w:t>
            </w:r>
          </w:p>
        </w:tc>
        <w:tc>
          <w:tcPr>
            <w:tcW w:type="dxa" w:w="7000"/>
          </w:tcPr>
          <w:p>
            <w:r>
              <w:t>Bibliogr. p.p. 259-264</w:t>
            </w:r>
          </w:p>
        </w:tc>
      </w:tr>
      <w:tr>
        <w:trPr>
          <w:trHeight w:val="567"/>
        </w:trPr>
        <w:tc>
          <w:tcPr>
            <w:tcW w:type="dxa" w:w="3000"/>
          </w:tcPr>
          <w:p>
            <w:r>
              <w:t>Numéro d'Identification</w:t>
            </w:r>
          </w:p>
        </w:tc>
        <w:tc>
          <w:tcPr>
            <w:tcW w:type="dxa" w:w="7000"/>
          </w:tcPr>
          <w:p>
            <w:r>
              <w:t>2746213826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logique floue/ moteurs asynchrones/ </w:t>
            </w:r>
          </w:p>
        </w:tc>
      </w:tr>
    </w:tbl>
    <w:p>
      <w:pPr>
        <w:pStyle w:val="Heading3"/>
      </w:pPr>
      <w:r>
        <w:t>Résumé :</w:t>
      </w:r>
    </w:p>
    <w:p>
      <w:r>
        <w:t>La machine asynchrone à vitesse variable, ouvrage en deux volumes, présente le moteur asynchrone, son modèle et son comportement en régime statique ou dynamique, dans son contexte environnemental. Il rassemble la modélisation et l'étude des différentes composantes d'un actionneur électrique : asservissements, organes de mesure, commande numérique et chaînes de puissance [...] Ce deuxième volume étudie l'aspect variation de vitesse du moteur, les notions de la logique floue puis la mesure des signaux et leurs traitements. La commande vectorielle ainsi que diverses stratégies (telles que DTC, FOC, SVM, etc.) sont également présentées. Enfin, l'ouvrage explique les éléments relatifs à la détection d'un défaut d'ordre électrique ou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