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Béton armé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Guillemont, Pierre/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Illustration</w:t>
            </w:r>
          </w:p>
        </w:tc>
        <w:tc>
          <w:tcPr>
            <w:tcW w:type="dxa" w:w="7000"/>
          </w:tcPr>
          <w:p>
            <w:r>
              <w:t>ill. couv. en coul. ill.</w:t>
            </w:r>
          </w:p>
        </w:tc>
      </w:tr>
      <w:tr>
        <w:trPr>
          <w:trHeight w:val="567"/>
        </w:trPr>
        <w:tc>
          <w:tcPr>
            <w:tcW w:type="dxa" w:w="3000"/>
          </w:tcPr>
          <w:p>
            <w:r>
              <w:t>Format</w:t>
            </w:r>
          </w:p>
        </w:tc>
        <w:tc>
          <w:tcPr>
            <w:tcW w:type="dxa" w:w="7000"/>
          </w:tcPr>
          <w:p>
            <w:r>
              <w:t>17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2100492446</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règles BAEL/ travaux de cuvelage/ maîtres d'œuvre/ </w:t>
            </w:r>
          </w:p>
        </w:tc>
      </w:tr>
    </w:tbl>
    <w:p>
      <w:pPr>
        <w:pStyle w:val="Heading3"/>
      </w:pPr>
      <w:r>
        <w:t>Résumé :</w:t>
      </w:r>
    </w:p>
    <w:p>
      <w:r>
        <w:t>Cet aide-mémoire rassemble toutes les données utiles à la conception et à la justification d'un ouvrage en béton armé dans le cadre d'un projet de bâtiment. Cette 2e édition a été enrichie et actualisée en conformité avec l'Eurocode 2 pour présenter les caractères des matériaux, les actions et les sollicitations, les règles générales relatives aux états limites ultimes et de service, les éléments courants (poteaux, poutres, dalles). Sont également traités en conformité avec les Règles BAEL et les textes réglementaires nationaux de référence : les éléments spéciaux : planchers-dalles, parois fléchies, consoles courtes, parois et murs en béton banché ou en maçonnerie, planchers à prédalles ; les ouvrages particuliers : travaux de cuvelage, comportement au feu, fondations superficielles ou profondes, murs de soutènement. Cet ouvrage constitue un outil de travail indispensable aux ingénieurs de bureau d'études, architectes, maîtres d'œuvre, ainsi qu'aux élèves-ingénieurs et étudiants du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