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perturbateur endocrinien oestrogèno-mimétique sur la reproduction d’un poisson ovovivipare d’eau douce Gambusia affinis (Baird et Girard., 1853)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Belhamra, Rahma/ Ouali, Kheireddine/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gambusia affinis/ perturbateur endocrinien/ toxicité chronique/ </w:t>
            </w:r>
          </w:p>
        </w:tc>
      </w:tr>
    </w:tbl>
    <w:p>
      <w:pPr>
        <w:pStyle w:val="Heading3"/>
      </w:pPr>
      <w:r>
        <w:t>Résumé :</w:t>
      </w:r>
    </w:p>
    <w:p>
      <w:r>
        <w:t>Les travaux réalisés s’appuient sur une approche expérimentale intégrée et transversale, visant à évaluer les effets du bisphénol A, un perturbateur endocrinien ubiquitaire, sur les grandes fonctions reproductives, métaboliques et antioxydantes chez Gambusia affinis, un poisson culiçiphage d’eau douce, menée sous deux exposition aiguë et chronique :</w:t>
        <w:br/>
        <w:br/>
        <w:t>La toxicité aiguë du bisphénol A a mis en évidence une mortalité cumulative et dose- dépendante, avec une différence marquée entre les sexes. Les mâles ont présenté une sensibilité accrue et précoce à de faibles concentrations, tandis que les femelles ont manifesté une mortalité plus tardive, à des concentrations plus importantes. La toxicité chronique au bisphénol A a provoqué d’importantes altérations chez Gambusia affinis, avec une diminution significative des indices gonado-somatique (IGS) et de condition (K), ainsi qu’une élévation de l’indice hépato-somatique (IHS), traduisant une atteinte des fonctions reproductives et un déséquilibre métabolique prononcé, particulièrement chez les mâles. Chez les femelles, des effets similaires ont été observés, bien que de manière plus progressive. L’effet sur les biomarqueurs a marqué chez les femelles une activation antioxydantes précoce mais transitoire (GST, CAT) suivie par une inhibition de l’acétylcholinestérase (AChE), une baisse du glutathion réduit (GSH) et une augmentation du malondialdéhyde (MDA), indiquant un stress oxydatif persistant, plus accentué chez les mâles. Une diminution progressive et dose-dépendante du taux de vitellines, a été enregistrée chez les femelles, indiquant une réduction de la vitellogenèse. Un troubles métaboliques observés chez les mâles des traduit par une baisse des protéines et une accumulation lipidique testiculaire conjugués par des lésions histologiques révéler par un amincissement de l’épithélium germinal, désorganisation des kystes spermatogéniques. L’ensemble de ces observations confirme l’impact profond du BPA sur la fonction gonadique, avec des répercussions directes sur la fertilité et le succès reproducteur.L’ensemble de ces résultats met en évidence une menace significative du BPA sur la reproduction et la survie des populations de poissons dans les milieux aquatiques contaminés, appelant à une vigilance renforcée dans les politiques de gestion des polluants et à l’utilisation élargie de Gambusia affinis comme bioindicateur dans les programmes de biosurveillance.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