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structurales, électroniques, mécaniques et thermodynamiques des composés intermétalliques Ir3TM (TM: métaux de transitions) par la méthode des ondes planes augmentées linéarisées (FP-LAPW)</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Akeb, Yamina/ Boulechfar, Rahima/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stabilité de phase/ intermétallique/ ductilité/ </w:t>
            </w:r>
          </w:p>
        </w:tc>
      </w:tr>
    </w:tbl>
    <w:p>
      <w:pPr>
        <w:pStyle w:val="Heading3"/>
      </w:pPr>
      <w:r>
        <w:t>Résumé :</w:t>
      </w:r>
    </w:p>
    <w:p>
      <w:r>
        <w:t>Dans cette thèse, les propriétés structurelles, mécaniques, électroniques et thermodynamiques</w:t>
        <w:br/>
        <w:br/>
        <w:t>des composés intermétalliques Ir3TM (TM = Sc, Ti et V) sont présentées dans les phases cubique</w:t>
        <w:br/>
        <w:br/>
        <w:t xml:space="preserve">(L12) et hexagonales (D019 et D024). Les simulations ont été réalisées en se basant sur la théorie de la </w:t>
        <w:br/>
        <w:br/>
        <w:t>fonctionnelle de densité (DFT), en utilisant l'approche de l'onde plane augmentée linéarisée (FP- LAPW) ainsi que l'approximation du gradient généralisé de Perdew-Burke-Ernzerhof (PBE-GGA).  Cette étude a été réalisée pour la phase cubique L12, ainsi que les phases hexagonales D024 et D019, qui peuvent être apparentées mais diffèrent par la manière dont les couches atomiques sont empilées. Les énergies totales, cohésives et de formation calculées suggèrent que le composé Ir3Sc pourrait être stable en phase D024, en raison d'un chevauchement avec la phase L12, présentant une différence d'énergie totale d'environ 0,026 eV/atome. Ir3Ti et Ir3V sont plus stables dans les phases L12 et D019 respectivement. Les résultats des calculs relatifs aux constantes élastiques montrent que les composés étudiés présentent une stabilité mécanique et une dureté supérieure dans la phase cubique par rapport</w:t>
        <w:br/>
        <w:br/>
        <w:t>à la phase hexagonale. Cependant, Ir3Sc présente la dureté la plus faible en raison de sa relative</w:t>
        <w:br/>
        <w:br/>
        <w:t>ductilité, alors qu'Ir3V possède la dureté maximale avec une moindre ductilité. Ces composés</w:t>
        <w:br/>
        <w:br/>
        <w:t>montrent une anisotropie élastique, basée sur la surface du module de Young tridimensionnel, Ir3Sc</w:t>
        <w:br/>
        <w:br/>
        <w:t>ayant la plus forte anisotropie et Ir3V la plus faible dans la phase L12. Les calculs de la densité totale</w:t>
        <w:br/>
        <w:br/>
        <w:t>d’états (TDOS) révèlent qu'Ir3Ti et Ir3V sont stables dans les phases L12 et D019 respectivement, à</w:t>
        <w:br/>
        <w:br/>
        <w:t>l'exception du composé Ir3Sc, qui pourrait subir une transition martensitique. De plus, le pseudogap</w:t>
        <w:br/>
        <w:br/>
        <w:t>pour Ir3V se rapproche du niveau de Fermi, indiquant que la liaison covalente dans ce composé est</w:t>
        <w:br/>
        <w:br/>
        <w:t xml:space="preserve">plus marquée que dans les autres. Par ailleurs, les propriétés thermodynamiques sont étudiées et </w:t>
        <w:br/>
        <w:br/>
        <w:t>évaluées en fonction des variations de température et de pression, en employant le modèle quasi- harmonique de Debye implémenté dans le programme de calcul Gibbs.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