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générale et pétrologie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Théobald, Nicolas/ Gama, Adrien/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Doin/ Deren et Cie/ </w:t>
            </w:r>
          </w:p>
        </w:tc>
      </w:tr>
      <w:tr>
        <w:trPr>
          <w:trHeight w:val="567"/>
        </w:trPr>
        <w:tc>
          <w:tcPr>
            <w:tcW w:type="dxa" w:w="3000"/>
          </w:tcPr>
          <w:p>
            <w:r>
              <w:t>Nombre de Pages</w:t>
            </w:r>
          </w:p>
        </w:tc>
        <w:tc>
          <w:tcPr>
            <w:tcW w:type="dxa" w:w="7000"/>
          </w:tcPr>
          <w:p>
            <w:r>
              <w:t>587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Géologie(N°:None)</w:t>
            </w:r>
          </w:p>
        </w:tc>
      </w:tr>
      <w:tr>
        <w:trPr>
          <w:trHeight w:val="567"/>
        </w:trPr>
        <w:tc>
          <w:tcPr>
            <w:tcW w:type="dxa" w:w="3000"/>
          </w:tcPr>
          <w:p>
            <w:r>
              <w:t>Notes Générales</w:t>
            </w:r>
          </w:p>
        </w:tc>
        <w:tc>
          <w:tcPr>
            <w:tcW w:type="dxa" w:w="7000"/>
          </w:tcPr>
          <w:p>
            <w:r>
              <w:t>Index p.p. 576-586</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géodynamique/ stratigraphie/ </w:t>
            </w:r>
          </w:p>
        </w:tc>
      </w:tr>
    </w:tbl>
    <w:p>
      <w:pPr>
        <w:pStyle w:val="Heading3"/>
      </w:pPr>
      <w:r>
        <w:t>Résumé :</w:t>
      </w:r>
    </w:p>
    <w:p>
      <w:r>
        <w:t>Cet ouvrage constitue une ressource précieuse pour les étudiants et les professionnels de la géologie, leur fournissant une compréhension approfondie des interactions entre les différents types de roches et les processus géologiques qui les forment, ainsi que de l’importance de ces connaissances dans des domaines tels que la gestion des ressources minérales et la préservation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