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Microtexture des roches magmatiques et métamorphiques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189-192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2225653402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pétrographique/ formation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en profondeur les textures et les structures à l’échelle microscopique des roches magmatiques et métamorphiques. L’auteur met en avant l’importance de la microtexture dans la compréhension des processus de formation et d’évolution de ces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