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pratique des ossatures de batiments en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Fuentes, Albert/ Lacroix, Roger/ </w:t>
            </w:r>
          </w:p>
        </w:tc>
      </w:tr>
      <w:tr>
        <w:trPr>
          <w:trHeight w:val="567"/>
        </w:trPr>
        <w:tc>
          <w:tcPr>
            <w:tcW w:type="dxa" w:w="3000"/>
          </w:tcPr>
          <w:p>
            <w:r>
              <w:t>Edition</w:t>
            </w:r>
          </w:p>
        </w:tc>
        <w:tc>
          <w:tcPr>
            <w:tcW w:type="dxa" w:w="7000"/>
          </w:tcPr>
          <w:p>
            <w:r>
              <w:t>3é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ossatures de batiment/ batiments courants/ batiments de grande hauteur/ </w:t>
            </w:r>
          </w:p>
        </w:tc>
      </w:tr>
    </w:tbl>
    <w:p>
      <w:pPr>
        <w:pStyle w:val="Heading3"/>
      </w:pPr>
      <w:r>
        <w:t>Résumé :</w:t>
      </w:r>
    </w:p>
    <w:p>
      <w:r>
        <w:t>Nombreux sont les ouvrages qui traitent du calcul des structures, et la littérature technique offre à l’ingénieur une foule de traités et manuels qui l’aident à dimensionner, ou à vérifier la stabilité des ossatures de bâtiment. Ces livres sont souvent élémentaires, et se contentent de traiter des systèmes isostatiques, en donnant quelques recettes, plutôt que des méthodes, pour les systèmes hyperstatiques. D’autres, au contraire, développent des méthodes rigoureuses, qui permettent, théoriquement, d’aborder le calcul des structures les plus compliquées, mais ils laissent généralement au lecteur le soin de l’application de ces méthodes, et c’est là que commence le problème de l’utilisateur qui, noyé dans une foule de formules littérales, éprouve de grandes difficultés pour les transposer à son projet.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